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3D86C" w14:textId="1176720E" w:rsidR="004F1AB5" w:rsidRDefault="005952F1">
      <w:pPr>
        <w:rPr>
          <w:b/>
          <w:bCs/>
          <w:sz w:val="32"/>
          <w:szCs w:val="32"/>
          <w:lang w:val="en-US"/>
        </w:rPr>
      </w:pPr>
      <w:r>
        <w:rPr>
          <w:b/>
          <w:bCs/>
          <w:sz w:val="32"/>
          <w:szCs w:val="32"/>
          <w:lang w:val="en-US"/>
        </w:rPr>
        <w:t>ANNEX</w:t>
      </w:r>
      <w:r w:rsidR="00D82D40">
        <w:rPr>
          <w:b/>
          <w:bCs/>
          <w:sz w:val="32"/>
          <w:szCs w:val="32"/>
          <w:lang w:val="en-US"/>
        </w:rPr>
        <w:t xml:space="preserve"> </w:t>
      </w:r>
      <w:r w:rsidR="00755796">
        <w:rPr>
          <w:b/>
          <w:bCs/>
          <w:sz w:val="32"/>
          <w:szCs w:val="32"/>
          <w:lang w:val="en-US"/>
        </w:rPr>
        <w:t>I</w:t>
      </w:r>
    </w:p>
    <w:p w14:paraId="4C4B0FAD" w14:textId="43992B0A" w:rsidR="00315014" w:rsidRDefault="00755796">
      <w:pPr>
        <w:rPr>
          <w:b/>
          <w:bCs/>
          <w:sz w:val="24"/>
          <w:szCs w:val="24"/>
          <w:u w:val="single"/>
        </w:rPr>
      </w:pPr>
      <w:r>
        <w:rPr>
          <w:b/>
          <w:bCs/>
          <w:sz w:val="24"/>
          <w:szCs w:val="24"/>
          <w:u w:val="single"/>
        </w:rPr>
        <w:t>M</w:t>
      </w:r>
      <w:r w:rsidR="005A1C52">
        <w:rPr>
          <w:b/>
          <w:bCs/>
          <w:sz w:val="24"/>
          <w:szCs w:val="24"/>
          <w:u w:val="single"/>
        </w:rPr>
        <w:t>ETHODOLOGICAL NOTE</w:t>
      </w:r>
      <w:r w:rsidR="00FB7B3E">
        <w:rPr>
          <w:b/>
          <w:bCs/>
          <w:sz w:val="24"/>
          <w:szCs w:val="24"/>
          <w:u w:val="single"/>
        </w:rPr>
        <w:t xml:space="preserve"> </w:t>
      </w:r>
    </w:p>
    <w:p w14:paraId="33092F00" w14:textId="41325CEA" w:rsidR="00910EE2" w:rsidRPr="00910EE2" w:rsidRDefault="00B23614" w:rsidP="00ED0BBB">
      <w:pPr>
        <w:jc w:val="both"/>
        <w:rPr>
          <w:sz w:val="24"/>
          <w:szCs w:val="24"/>
        </w:rPr>
      </w:pPr>
      <w:r>
        <w:rPr>
          <w:sz w:val="24"/>
          <w:szCs w:val="24"/>
        </w:rPr>
        <w:t>T</w:t>
      </w:r>
      <w:r w:rsidR="00910EE2">
        <w:rPr>
          <w:sz w:val="24"/>
          <w:szCs w:val="24"/>
        </w:rPr>
        <w:t xml:space="preserve">he following Methodological Note explains in more detail the specifics of the </w:t>
      </w:r>
      <w:r w:rsidR="00F4078F">
        <w:rPr>
          <w:sz w:val="24"/>
          <w:szCs w:val="24"/>
        </w:rPr>
        <w:t xml:space="preserve">research methodology </w:t>
      </w:r>
      <w:r w:rsidR="00816B1D">
        <w:rPr>
          <w:sz w:val="24"/>
          <w:szCs w:val="24"/>
        </w:rPr>
        <w:t>behind this comparative study</w:t>
      </w:r>
      <w:r w:rsidR="000D448D">
        <w:rPr>
          <w:sz w:val="24"/>
          <w:szCs w:val="24"/>
        </w:rPr>
        <w:t xml:space="preserve">. This includes the </w:t>
      </w:r>
      <w:r w:rsidR="00855FAF">
        <w:rPr>
          <w:sz w:val="24"/>
          <w:szCs w:val="24"/>
        </w:rPr>
        <w:t xml:space="preserve">level of the case </w:t>
      </w:r>
      <w:r w:rsidR="009639EA">
        <w:rPr>
          <w:sz w:val="24"/>
          <w:szCs w:val="24"/>
        </w:rPr>
        <w:t xml:space="preserve">studies, the </w:t>
      </w:r>
      <w:r w:rsidR="000D448D">
        <w:rPr>
          <w:sz w:val="24"/>
          <w:szCs w:val="24"/>
        </w:rPr>
        <w:t xml:space="preserve">interviews </w:t>
      </w:r>
      <w:r w:rsidR="00F4078F">
        <w:rPr>
          <w:sz w:val="24"/>
          <w:szCs w:val="24"/>
        </w:rPr>
        <w:t xml:space="preserve">used to collect the original primary source data, </w:t>
      </w:r>
      <w:r w:rsidR="00F34053">
        <w:rPr>
          <w:sz w:val="24"/>
          <w:szCs w:val="24"/>
        </w:rPr>
        <w:t xml:space="preserve">how the </w:t>
      </w:r>
      <w:r w:rsidR="00B2145F">
        <w:rPr>
          <w:sz w:val="24"/>
          <w:szCs w:val="24"/>
        </w:rPr>
        <w:t xml:space="preserve">resulting data was </w:t>
      </w:r>
      <w:r w:rsidR="009B5DE9">
        <w:rPr>
          <w:sz w:val="24"/>
          <w:szCs w:val="24"/>
        </w:rPr>
        <w:t>processed</w:t>
      </w:r>
      <w:r w:rsidR="00D57347">
        <w:rPr>
          <w:sz w:val="24"/>
          <w:szCs w:val="24"/>
        </w:rPr>
        <w:t xml:space="preserve"> using a Grounded Theory variant</w:t>
      </w:r>
      <w:r w:rsidR="00C6540C">
        <w:rPr>
          <w:sz w:val="24"/>
          <w:szCs w:val="24"/>
        </w:rPr>
        <w:t xml:space="preserve">, the use of </w:t>
      </w:r>
      <w:r w:rsidR="00272658">
        <w:rPr>
          <w:sz w:val="24"/>
          <w:szCs w:val="24"/>
        </w:rPr>
        <w:t>a perceived weighting to produce tiered tables,</w:t>
      </w:r>
      <w:r w:rsidR="009B5DE9">
        <w:rPr>
          <w:sz w:val="24"/>
          <w:szCs w:val="24"/>
        </w:rPr>
        <w:t xml:space="preserve"> and</w:t>
      </w:r>
      <w:r w:rsidR="00A00381">
        <w:rPr>
          <w:sz w:val="24"/>
          <w:szCs w:val="24"/>
        </w:rPr>
        <w:t xml:space="preserve"> </w:t>
      </w:r>
      <w:r w:rsidR="00B2145F">
        <w:rPr>
          <w:sz w:val="24"/>
          <w:szCs w:val="24"/>
        </w:rPr>
        <w:t xml:space="preserve">the </w:t>
      </w:r>
      <w:r w:rsidR="00A00381">
        <w:rPr>
          <w:sz w:val="24"/>
          <w:szCs w:val="24"/>
        </w:rPr>
        <w:t>emerg</w:t>
      </w:r>
      <w:r w:rsidR="00F3452C">
        <w:rPr>
          <w:sz w:val="24"/>
          <w:szCs w:val="24"/>
        </w:rPr>
        <w:t xml:space="preserve">ing </w:t>
      </w:r>
      <w:r w:rsidR="00A00381">
        <w:rPr>
          <w:sz w:val="24"/>
          <w:szCs w:val="24"/>
        </w:rPr>
        <w:t xml:space="preserve">themes and issues </w:t>
      </w:r>
      <w:r w:rsidR="00F3452C">
        <w:rPr>
          <w:sz w:val="24"/>
          <w:szCs w:val="24"/>
        </w:rPr>
        <w:t xml:space="preserve">that were drawn </w:t>
      </w:r>
      <w:r w:rsidR="00A00381">
        <w:rPr>
          <w:sz w:val="24"/>
          <w:szCs w:val="24"/>
        </w:rPr>
        <w:t xml:space="preserve">from </w:t>
      </w:r>
      <w:r w:rsidR="00272658">
        <w:rPr>
          <w:sz w:val="24"/>
          <w:szCs w:val="24"/>
        </w:rPr>
        <w:t>them</w:t>
      </w:r>
      <w:r w:rsidR="00A00381">
        <w:rPr>
          <w:sz w:val="24"/>
          <w:szCs w:val="24"/>
        </w:rPr>
        <w:t xml:space="preserve">. </w:t>
      </w:r>
    </w:p>
    <w:p w14:paraId="6202FB02" w14:textId="77777777" w:rsidR="00776787" w:rsidRDefault="00776787" w:rsidP="00776787">
      <w:pPr>
        <w:jc w:val="both"/>
        <w:rPr>
          <w:b/>
          <w:bCs/>
          <w:sz w:val="24"/>
          <w:szCs w:val="24"/>
          <w:u w:val="single"/>
        </w:rPr>
      </w:pPr>
      <w:r w:rsidRPr="007C6874">
        <w:rPr>
          <w:b/>
          <w:bCs/>
          <w:sz w:val="24"/>
          <w:szCs w:val="24"/>
          <w:u w:val="single"/>
        </w:rPr>
        <w:t>Case Study Countries</w:t>
      </w:r>
    </w:p>
    <w:p w14:paraId="08DC2ED3" w14:textId="7432EB2F" w:rsidR="004F2B36" w:rsidRPr="008E2EE5" w:rsidRDefault="00776787" w:rsidP="004F2B36">
      <w:pPr>
        <w:jc w:val="both"/>
        <w:rPr>
          <w:sz w:val="24"/>
          <w:szCs w:val="24"/>
        </w:rPr>
      </w:pPr>
      <w:r>
        <w:rPr>
          <w:sz w:val="24"/>
          <w:szCs w:val="24"/>
        </w:rPr>
        <w:t xml:space="preserve">The case studies used for the book were based at the level of </w:t>
      </w:r>
      <w:r w:rsidR="002C6C72">
        <w:rPr>
          <w:sz w:val="24"/>
          <w:szCs w:val="24"/>
        </w:rPr>
        <w:t xml:space="preserve">the </w:t>
      </w:r>
      <w:r>
        <w:rPr>
          <w:sz w:val="24"/>
          <w:szCs w:val="24"/>
        </w:rPr>
        <w:t>nation state. The seven case study countries comprised the UK, Ireland, France, Spain, Israel, Turkey and the US</w:t>
      </w:r>
      <w:r w:rsidR="00DB41C3">
        <w:rPr>
          <w:sz w:val="24"/>
          <w:szCs w:val="24"/>
        </w:rPr>
        <w:t>. These</w:t>
      </w:r>
      <w:r>
        <w:rPr>
          <w:sz w:val="24"/>
          <w:szCs w:val="24"/>
        </w:rPr>
        <w:t xml:space="preserve"> were chosen not just because they have all suffered </w:t>
      </w:r>
      <w:r w:rsidR="000240D7">
        <w:rPr>
          <w:sz w:val="24"/>
          <w:szCs w:val="24"/>
        </w:rPr>
        <w:t xml:space="preserve">from </w:t>
      </w:r>
      <w:r>
        <w:rPr>
          <w:sz w:val="24"/>
          <w:szCs w:val="24"/>
        </w:rPr>
        <w:t xml:space="preserve">a wide range of different terrorist </w:t>
      </w:r>
      <w:r w:rsidR="00A44EC5">
        <w:rPr>
          <w:sz w:val="24"/>
          <w:szCs w:val="24"/>
        </w:rPr>
        <w:t>threats</w:t>
      </w:r>
      <w:r>
        <w:rPr>
          <w:sz w:val="24"/>
          <w:szCs w:val="24"/>
        </w:rPr>
        <w:t xml:space="preserve"> over time</w:t>
      </w:r>
      <w:r w:rsidR="00D84823">
        <w:rPr>
          <w:sz w:val="24"/>
          <w:szCs w:val="24"/>
        </w:rPr>
        <w:t xml:space="preserve"> (</w:t>
      </w:r>
      <w:r w:rsidR="00684DC5">
        <w:rPr>
          <w:sz w:val="24"/>
          <w:szCs w:val="24"/>
        </w:rPr>
        <w:t>political, nationalist-separatist and re</w:t>
      </w:r>
      <w:r w:rsidR="007B0EEF">
        <w:rPr>
          <w:sz w:val="24"/>
          <w:szCs w:val="24"/>
        </w:rPr>
        <w:t>ligious</w:t>
      </w:r>
      <w:r w:rsidR="00D84823">
        <w:rPr>
          <w:sz w:val="24"/>
          <w:szCs w:val="24"/>
        </w:rPr>
        <w:t>)</w:t>
      </w:r>
      <w:r w:rsidR="007B0EEF">
        <w:rPr>
          <w:sz w:val="24"/>
          <w:szCs w:val="24"/>
        </w:rPr>
        <w:t xml:space="preserve">, </w:t>
      </w:r>
      <w:r>
        <w:rPr>
          <w:sz w:val="24"/>
          <w:szCs w:val="24"/>
        </w:rPr>
        <w:t xml:space="preserve">but because they also represent </w:t>
      </w:r>
      <w:r>
        <w:rPr>
          <w:rFonts w:cstheme="minorHAnsi"/>
          <w:sz w:val="24"/>
          <w:szCs w:val="24"/>
        </w:rPr>
        <w:t>a variety of different historical, political, legal, policing, military, cultural and religious backgrounds and structures.</w:t>
      </w:r>
      <w:r w:rsidR="00B45ACD">
        <w:rPr>
          <w:rFonts w:cstheme="minorHAnsi"/>
          <w:sz w:val="24"/>
          <w:szCs w:val="24"/>
        </w:rPr>
        <w:t xml:space="preserve"> </w:t>
      </w:r>
      <w:r w:rsidR="004F2B36">
        <w:rPr>
          <w:rFonts w:cstheme="minorHAnsi"/>
          <w:sz w:val="24"/>
          <w:szCs w:val="24"/>
        </w:rPr>
        <w:t xml:space="preserve">These differences clearly </w:t>
      </w:r>
      <w:r w:rsidR="004F2B36">
        <w:rPr>
          <w:rFonts w:cstheme="minorHAnsi"/>
          <w:sz w:val="24"/>
          <w:szCs w:val="24"/>
        </w:rPr>
        <w:t xml:space="preserve">benefited the comparative </w:t>
      </w:r>
      <w:r w:rsidR="00C56F70">
        <w:rPr>
          <w:rFonts w:cstheme="minorHAnsi"/>
          <w:sz w:val="24"/>
          <w:szCs w:val="24"/>
        </w:rPr>
        <w:t xml:space="preserve">aspects of the </w:t>
      </w:r>
      <w:r w:rsidR="004F2B36">
        <w:rPr>
          <w:rFonts w:cstheme="minorHAnsi"/>
          <w:sz w:val="24"/>
          <w:szCs w:val="24"/>
        </w:rPr>
        <w:t>stu</w:t>
      </w:r>
      <w:r w:rsidR="00FC378B">
        <w:rPr>
          <w:rFonts w:cstheme="minorHAnsi"/>
          <w:sz w:val="24"/>
          <w:szCs w:val="24"/>
        </w:rPr>
        <w:t>dy</w:t>
      </w:r>
      <w:r w:rsidR="004F2B36">
        <w:rPr>
          <w:rFonts w:cstheme="minorHAnsi"/>
          <w:sz w:val="24"/>
          <w:szCs w:val="24"/>
        </w:rPr>
        <w:t xml:space="preserve"> and increased the generalisability and utility of the resulting data</w:t>
      </w:r>
      <w:r w:rsidR="00C56F70">
        <w:rPr>
          <w:rFonts w:cstheme="minorHAnsi"/>
          <w:sz w:val="24"/>
          <w:szCs w:val="24"/>
        </w:rPr>
        <w:t>.</w:t>
      </w:r>
    </w:p>
    <w:p w14:paraId="51C36B80" w14:textId="3DFEECCF" w:rsidR="007B0EEF" w:rsidRPr="008C7312" w:rsidRDefault="00771CD3" w:rsidP="00776787">
      <w:pPr>
        <w:jc w:val="both"/>
        <w:rPr>
          <w:rFonts w:cstheme="minorHAnsi"/>
          <w:sz w:val="24"/>
          <w:szCs w:val="24"/>
        </w:rPr>
      </w:pPr>
      <w:r>
        <w:rPr>
          <w:rFonts w:cstheme="minorHAnsi"/>
          <w:sz w:val="24"/>
          <w:szCs w:val="24"/>
        </w:rPr>
        <w:t>By way of</w:t>
      </w:r>
      <w:r w:rsidR="00B45ACD">
        <w:rPr>
          <w:rFonts w:cstheme="minorHAnsi"/>
          <w:sz w:val="24"/>
          <w:szCs w:val="24"/>
        </w:rPr>
        <w:t xml:space="preserve"> example</w:t>
      </w:r>
      <w:r w:rsidR="002C1E65">
        <w:rPr>
          <w:rFonts w:cstheme="minorHAnsi"/>
          <w:sz w:val="24"/>
          <w:szCs w:val="24"/>
        </w:rPr>
        <w:t>,</w:t>
      </w:r>
      <w:r w:rsidR="00B45ACD">
        <w:rPr>
          <w:rFonts w:cstheme="minorHAnsi"/>
          <w:sz w:val="24"/>
          <w:szCs w:val="24"/>
        </w:rPr>
        <w:t xml:space="preserve"> </w:t>
      </w:r>
      <w:r w:rsidR="00A37154">
        <w:rPr>
          <w:rFonts w:cstheme="minorHAnsi"/>
          <w:sz w:val="24"/>
          <w:szCs w:val="24"/>
        </w:rPr>
        <w:t>g</w:t>
      </w:r>
      <w:r w:rsidR="00A37154">
        <w:rPr>
          <w:rFonts w:cstheme="minorHAnsi"/>
          <w:sz w:val="24"/>
          <w:szCs w:val="24"/>
        </w:rPr>
        <w:t>eographically the countries cover Europe, North America and the Middle East</w:t>
      </w:r>
      <w:r w:rsidR="00A37154">
        <w:rPr>
          <w:rFonts w:cstheme="minorHAnsi"/>
          <w:sz w:val="24"/>
          <w:szCs w:val="24"/>
        </w:rPr>
        <w:t>. W</w:t>
      </w:r>
      <w:r w:rsidR="00B45ACD">
        <w:rPr>
          <w:rFonts w:cstheme="minorHAnsi"/>
          <w:sz w:val="24"/>
          <w:szCs w:val="24"/>
        </w:rPr>
        <w:t>hile the</w:t>
      </w:r>
      <w:r w:rsidR="001206AF">
        <w:rPr>
          <w:rFonts w:cstheme="minorHAnsi"/>
          <w:sz w:val="24"/>
          <w:szCs w:val="24"/>
        </w:rPr>
        <w:t xml:space="preserve"> UK and Spain are constitutional monarchies, </w:t>
      </w:r>
      <w:r w:rsidR="004A5DC9">
        <w:rPr>
          <w:rFonts w:cstheme="minorHAnsi"/>
          <w:sz w:val="24"/>
          <w:szCs w:val="24"/>
        </w:rPr>
        <w:t>the others are Republics</w:t>
      </w:r>
      <w:r w:rsidR="00156770">
        <w:rPr>
          <w:rFonts w:cstheme="minorHAnsi"/>
          <w:sz w:val="24"/>
          <w:szCs w:val="24"/>
        </w:rPr>
        <w:t xml:space="preserve"> and although the majority </w:t>
      </w:r>
      <w:r w:rsidR="004410CD">
        <w:rPr>
          <w:rFonts w:cstheme="minorHAnsi"/>
          <w:sz w:val="24"/>
          <w:szCs w:val="24"/>
        </w:rPr>
        <w:t xml:space="preserve">of the countries </w:t>
      </w:r>
      <w:r w:rsidR="00156770">
        <w:rPr>
          <w:rFonts w:cstheme="minorHAnsi"/>
          <w:sz w:val="24"/>
          <w:szCs w:val="24"/>
        </w:rPr>
        <w:t xml:space="preserve">have predominantly Christian backgrounds, Israel </w:t>
      </w:r>
      <w:r w:rsidR="002E7C9A">
        <w:rPr>
          <w:rFonts w:cstheme="minorHAnsi"/>
          <w:sz w:val="24"/>
          <w:szCs w:val="24"/>
        </w:rPr>
        <w:t xml:space="preserve">is a Jewish state and Turkey is </w:t>
      </w:r>
      <w:r w:rsidR="005F60AC">
        <w:rPr>
          <w:rFonts w:cstheme="minorHAnsi"/>
          <w:sz w:val="24"/>
          <w:szCs w:val="24"/>
        </w:rPr>
        <w:t xml:space="preserve">Muslim. </w:t>
      </w:r>
      <w:r w:rsidR="004E30DF">
        <w:rPr>
          <w:rFonts w:cstheme="minorHAnsi"/>
          <w:sz w:val="24"/>
          <w:szCs w:val="24"/>
        </w:rPr>
        <w:t xml:space="preserve">While the US </w:t>
      </w:r>
      <w:r w:rsidR="00D7686D">
        <w:rPr>
          <w:rFonts w:cstheme="minorHAnsi"/>
          <w:sz w:val="24"/>
          <w:szCs w:val="24"/>
        </w:rPr>
        <w:t xml:space="preserve">has a multitude of police organisations at the Federal, State, Local and Tribal levels, </w:t>
      </w:r>
      <w:r w:rsidR="00A32E55">
        <w:rPr>
          <w:rFonts w:cstheme="minorHAnsi"/>
          <w:sz w:val="24"/>
          <w:szCs w:val="24"/>
        </w:rPr>
        <w:t xml:space="preserve">Ireland has a single national policing </w:t>
      </w:r>
      <w:r w:rsidR="00DF4930">
        <w:rPr>
          <w:rFonts w:cstheme="minorHAnsi"/>
          <w:sz w:val="24"/>
          <w:szCs w:val="24"/>
        </w:rPr>
        <w:t>body</w:t>
      </w:r>
      <w:r w:rsidR="00166F6C">
        <w:rPr>
          <w:rFonts w:cstheme="minorHAnsi"/>
          <w:sz w:val="24"/>
          <w:szCs w:val="24"/>
        </w:rPr>
        <w:t xml:space="preserve"> and although</w:t>
      </w:r>
      <w:r w:rsidR="00DF4930">
        <w:rPr>
          <w:rFonts w:cstheme="minorHAnsi"/>
          <w:sz w:val="24"/>
          <w:szCs w:val="24"/>
        </w:rPr>
        <w:t xml:space="preserve"> the UK has a number of </w:t>
      </w:r>
      <w:r w:rsidR="00D620CE">
        <w:rPr>
          <w:rFonts w:cstheme="minorHAnsi"/>
          <w:sz w:val="24"/>
          <w:szCs w:val="24"/>
        </w:rPr>
        <w:t xml:space="preserve">regionally &amp; </w:t>
      </w:r>
      <w:r w:rsidR="00F71F05">
        <w:rPr>
          <w:rFonts w:cstheme="minorHAnsi"/>
          <w:sz w:val="24"/>
          <w:szCs w:val="24"/>
        </w:rPr>
        <w:t>county-based</w:t>
      </w:r>
      <w:r w:rsidR="00D620CE">
        <w:rPr>
          <w:rFonts w:cstheme="minorHAnsi"/>
          <w:sz w:val="24"/>
          <w:szCs w:val="24"/>
        </w:rPr>
        <w:t xml:space="preserve"> constabularies, France, Spain</w:t>
      </w:r>
      <w:r w:rsidR="00E0620B">
        <w:rPr>
          <w:rFonts w:cstheme="minorHAnsi"/>
          <w:sz w:val="24"/>
          <w:szCs w:val="24"/>
        </w:rPr>
        <w:t xml:space="preserve"> and Turkey have dual policing structures, with </w:t>
      </w:r>
      <w:r w:rsidR="005F0D55">
        <w:rPr>
          <w:rFonts w:cstheme="minorHAnsi"/>
          <w:sz w:val="24"/>
          <w:szCs w:val="24"/>
        </w:rPr>
        <w:t xml:space="preserve">both </w:t>
      </w:r>
      <w:r w:rsidR="00E0620B">
        <w:rPr>
          <w:rFonts w:cstheme="minorHAnsi"/>
          <w:sz w:val="24"/>
          <w:szCs w:val="24"/>
        </w:rPr>
        <w:t xml:space="preserve">their </w:t>
      </w:r>
      <w:r w:rsidR="00F71F05">
        <w:rPr>
          <w:rFonts w:cstheme="minorHAnsi"/>
          <w:sz w:val="24"/>
          <w:szCs w:val="24"/>
        </w:rPr>
        <w:t xml:space="preserve">police and </w:t>
      </w:r>
      <w:r w:rsidR="00E0620B">
        <w:rPr>
          <w:rFonts w:cstheme="minorHAnsi"/>
          <w:sz w:val="24"/>
          <w:szCs w:val="24"/>
        </w:rPr>
        <w:t xml:space="preserve">gendarmerie type </w:t>
      </w:r>
      <w:r>
        <w:rPr>
          <w:rFonts w:cstheme="minorHAnsi"/>
          <w:sz w:val="24"/>
          <w:szCs w:val="24"/>
        </w:rPr>
        <w:t xml:space="preserve">forces. </w:t>
      </w:r>
      <w:r w:rsidR="00191080">
        <w:rPr>
          <w:rFonts w:cstheme="minorHAnsi"/>
          <w:sz w:val="24"/>
          <w:szCs w:val="24"/>
        </w:rPr>
        <w:t xml:space="preserve">With the military, </w:t>
      </w:r>
      <w:r w:rsidR="000471CD">
        <w:rPr>
          <w:rFonts w:cstheme="minorHAnsi"/>
          <w:sz w:val="24"/>
          <w:szCs w:val="24"/>
        </w:rPr>
        <w:t xml:space="preserve">while </w:t>
      </w:r>
      <w:r w:rsidR="00830DCE">
        <w:rPr>
          <w:rFonts w:cstheme="minorHAnsi"/>
          <w:sz w:val="24"/>
          <w:szCs w:val="24"/>
        </w:rPr>
        <w:t>most of the case study countri</w:t>
      </w:r>
      <w:r w:rsidR="008D5DD8">
        <w:rPr>
          <w:rFonts w:cstheme="minorHAnsi"/>
          <w:sz w:val="24"/>
          <w:szCs w:val="24"/>
        </w:rPr>
        <w:t>es now have entirely professional military forces, Israel and Turkey still rely extensive</w:t>
      </w:r>
      <w:r w:rsidR="005E642C">
        <w:rPr>
          <w:rFonts w:cstheme="minorHAnsi"/>
          <w:sz w:val="24"/>
          <w:szCs w:val="24"/>
        </w:rPr>
        <w:t>ly on</w:t>
      </w:r>
      <w:r w:rsidR="008D5DD8">
        <w:rPr>
          <w:rFonts w:cstheme="minorHAnsi"/>
          <w:sz w:val="24"/>
          <w:szCs w:val="24"/>
        </w:rPr>
        <w:t xml:space="preserve"> conscription</w:t>
      </w:r>
      <w:r w:rsidR="00FB0695">
        <w:rPr>
          <w:rFonts w:cstheme="minorHAnsi"/>
          <w:sz w:val="24"/>
          <w:szCs w:val="24"/>
        </w:rPr>
        <w:t xml:space="preserve"> alongside their professional forces</w:t>
      </w:r>
      <w:r w:rsidR="008D5DD8">
        <w:rPr>
          <w:rFonts w:cstheme="minorHAnsi"/>
          <w:sz w:val="24"/>
          <w:szCs w:val="24"/>
        </w:rPr>
        <w:t>.</w:t>
      </w:r>
      <w:r w:rsidR="002A0D28">
        <w:rPr>
          <w:rFonts w:cstheme="minorHAnsi"/>
          <w:sz w:val="24"/>
          <w:szCs w:val="24"/>
        </w:rPr>
        <w:t xml:space="preserve"> </w:t>
      </w:r>
      <w:r w:rsidR="00B26859">
        <w:rPr>
          <w:rFonts w:cstheme="minorHAnsi"/>
          <w:sz w:val="24"/>
          <w:szCs w:val="24"/>
        </w:rPr>
        <w:t>With intelligence structures, while most of the countries have a</w:t>
      </w:r>
      <w:r w:rsidR="005E642C">
        <w:rPr>
          <w:rFonts w:cstheme="minorHAnsi"/>
          <w:sz w:val="24"/>
          <w:szCs w:val="24"/>
        </w:rPr>
        <w:t xml:space="preserve"> predominantly</w:t>
      </w:r>
      <w:r w:rsidR="00B26859">
        <w:rPr>
          <w:rFonts w:cstheme="minorHAnsi"/>
          <w:sz w:val="24"/>
          <w:szCs w:val="24"/>
        </w:rPr>
        <w:t xml:space="preserve"> dual</w:t>
      </w:r>
      <w:r w:rsidR="00F564A8">
        <w:rPr>
          <w:rFonts w:cstheme="minorHAnsi"/>
          <w:sz w:val="24"/>
          <w:szCs w:val="24"/>
        </w:rPr>
        <w:t xml:space="preserve"> structure, with agencies reflecting the roles of external foreign intelligence collection and domestic </w:t>
      </w:r>
      <w:r w:rsidR="00C41C36">
        <w:rPr>
          <w:rFonts w:cstheme="minorHAnsi"/>
          <w:sz w:val="24"/>
          <w:szCs w:val="24"/>
        </w:rPr>
        <w:t xml:space="preserve">counter-intelligence and security, Spain and Turkey have intelligence agencies that cover both roles. </w:t>
      </w:r>
    </w:p>
    <w:p w14:paraId="7C05CC8D" w14:textId="0473F46E" w:rsidR="007C7A26" w:rsidRDefault="00431168">
      <w:pPr>
        <w:rPr>
          <w:b/>
          <w:bCs/>
          <w:sz w:val="24"/>
          <w:szCs w:val="24"/>
          <w:u w:val="single"/>
        </w:rPr>
      </w:pPr>
      <w:r>
        <w:rPr>
          <w:b/>
          <w:bCs/>
          <w:sz w:val="24"/>
          <w:szCs w:val="24"/>
          <w:u w:val="single"/>
        </w:rPr>
        <w:t>Interviews</w:t>
      </w:r>
    </w:p>
    <w:p w14:paraId="7BF3349D" w14:textId="77777777" w:rsidR="00FD0E08" w:rsidRDefault="00AC5E1B" w:rsidP="00A06C18">
      <w:pPr>
        <w:jc w:val="both"/>
        <w:rPr>
          <w:rFonts w:cstheme="minorHAnsi"/>
          <w:sz w:val="24"/>
          <w:szCs w:val="24"/>
        </w:rPr>
      </w:pPr>
      <w:r>
        <w:rPr>
          <w:sz w:val="24"/>
          <w:szCs w:val="24"/>
        </w:rPr>
        <w:t xml:space="preserve">The </w:t>
      </w:r>
      <w:r w:rsidR="00603EF7">
        <w:rPr>
          <w:sz w:val="24"/>
          <w:szCs w:val="24"/>
        </w:rPr>
        <w:t xml:space="preserve">initial </w:t>
      </w:r>
      <w:r>
        <w:rPr>
          <w:sz w:val="24"/>
          <w:szCs w:val="24"/>
        </w:rPr>
        <w:t xml:space="preserve">data was collected </w:t>
      </w:r>
      <w:r w:rsidR="00432D96">
        <w:rPr>
          <w:sz w:val="24"/>
          <w:szCs w:val="24"/>
        </w:rPr>
        <w:t>from 172</w:t>
      </w:r>
      <w:r w:rsidR="00291E6F">
        <w:rPr>
          <w:sz w:val="24"/>
          <w:szCs w:val="24"/>
        </w:rPr>
        <w:t xml:space="preserve"> generic</w:t>
      </w:r>
      <w:r w:rsidR="00432D96">
        <w:rPr>
          <w:sz w:val="24"/>
          <w:szCs w:val="24"/>
        </w:rPr>
        <w:t xml:space="preserve"> </w:t>
      </w:r>
      <w:r w:rsidR="00B05B1A">
        <w:rPr>
          <w:sz w:val="24"/>
          <w:szCs w:val="24"/>
        </w:rPr>
        <w:t>semi-structured interviews of counter-terrorist practitioners in</w:t>
      </w:r>
      <w:r w:rsidR="00B76687">
        <w:rPr>
          <w:sz w:val="24"/>
          <w:szCs w:val="24"/>
        </w:rPr>
        <w:t xml:space="preserve"> the</w:t>
      </w:r>
      <w:r w:rsidR="00B05B1A">
        <w:rPr>
          <w:sz w:val="24"/>
          <w:szCs w:val="24"/>
        </w:rPr>
        <w:t xml:space="preserve"> </w:t>
      </w:r>
      <w:r w:rsidR="006C53EA">
        <w:rPr>
          <w:sz w:val="24"/>
          <w:szCs w:val="24"/>
        </w:rPr>
        <w:t>seven countries</w:t>
      </w:r>
      <w:r w:rsidR="00B76687">
        <w:rPr>
          <w:sz w:val="24"/>
          <w:szCs w:val="24"/>
        </w:rPr>
        <w:t xml:space="preserve"> </w:t>
      </w:r>
      <w:r w:rsidR="00B76E1D">
        <w:rPr>
          <w:sz w:val="24"/>
          <w:szCs w:val="24"/>
        </w:rPr>
        <w:t xml:space="preserve">previously </w:t>
      </w:r>
      <w:r w:rsidR="00B76687">
        <w:rPr>
          <w:sz w:val="24"/>
          <w:szCs w:val="24"/>
        </w:rPr>
        <w:t>detailed</w:t>
      </w:r>
      <w:r w:rsidR="006C53EA">
        <w:rPr>
          <w:sz w:val="24"/>
          <w:szCs w:val="24"/>
        </w:rPr>
        <w:t xml:space="preserve">. </w:t>
      </w:r>
      <w:r w:rsidR="00823E8D">
        <w:rPr>
          <w:sz w:val="24"/>
          <w:szCs w:val="24"/>
        </w:rPr>
        <w:t>To</w:t>
      </w:r>
      <w:r w:rsidR="00366BB0">
        <w:rPr>
          <w:sz w:val="24"/>
          <w:szCs w:val="24"/>
        </w:rPr>
        <w:t xml:space="preserve"> help</w:t>
      </w:r>
      <w:r w:rsidR="00823E8D">
        <w:rPr>
          <w:sz w:val="24"/>
          <w:szCs w:val="24"/>
        </w:rPr>
        <w:t xml:space="preserve"> facilitate a comparative study, the</w:t>
      </w:r>
      <w:r w:rsidR="00CD771B">
        <w:rPr>
          <w:sz w:val="24"/>
          <w:szCs w:val="24"/>
        </w:rPr>
        <w:t xml:space="preserve"> </w:t>
      </w:r>
      <w:r w:rsidR="00823E8D">
        <w:rPr>
          <w:sz w:val="24"/>
          <w:szCs w:val="24"/>
        </w:rPr>
        <w:t>questions</w:t>
      </w:r>
      <w:r w:rsidR="00AB7946">
        <w:rPr>
          <w:sz w:val="24"/>
          <w:szCs w:val="24"/>
        </w:rPr>
        <w:t xml:space="preserve"> in the interview plan</w:t>
      </w:r>
      <w:r w:rsidR="00823E8D">
        <w:rPr>
          <w:sz w:val="24"/>
          <w:szCs w:val="24"/>
        </w:rPr>
        <w:t xml:space="preserve"> were the same for </w:t>
      </w:r>
      <w:r w:rsidR="00F45DE6">
        <w:rPr>
          <w:sz w:val="24"/>
          <w:szCs w:val="24"/>
        </w:rPr>
        <w:t>each of the interviewees, regardless of wh</w:t>
      </w:r>
      <w:r w:rsidR="00AB49BC">
        <w:rPr>
          <w:sz w:val="24"/>
          <w:szCs w:val="24"/>
        </w:rPr>
        <w:t>ich case study</w:t>
      </w:r>
      <w:r w:rsidR="00F45DE6">
        <w:rPr>
          <w:sz w:val="24"/>
          <w:szCs w:val="24"/>
        </w:rPr>
        <w:t xml:space="preserve"> </w:t>
      </w:r>
      <w:r w:rsidR="002520CD">
        <w:rPr>
          <w:sz w:val="24"/>
          <w:szCs w:val="24"/>
        </w:rPr>
        <w:t>c</w:t>
      </w:r>
      <w:r w:rsidR="00F45DE6">
        <w:rPr>
          <w:sz w:val="24"/>
          <w:szCs w:val="24"/>
        </w:rPr>
        <w:t>ountry they were from, or what role they fulfilled</w:t>
      </w:r>
      <w:r w:rsidR="00040A6D">
        <w:rPr>
          <w:sz w:val="24"/>
          <w:szCs w:val="24"/>
        </w:rPr>
        <w:t xml:space="preserve">, whether military, intelligence, policing or security. </w:t>
      </w:r>
      <w:r w:rsidR="009D5E54">
        <w:rPr>
          <w:rFonts w:cstheme="minorHAnsi"/>
          <w:sz w:val="24"/>
          <w:szCs w:val="24"/>
        </w:rPr>
        <w:t xml:space="preserve">In order to obtain as much </w:t>
      </w:r>
      <w:r w:rsidR="00EA146D">
        <w:rPr>
          <w:rFonts w:cstheme="minorHAnsi"/>
          <w:sz w:val="24"/>
          <w:szCs w:val="24"/>
        </w:rPr>
        <w:t>insight and understanding</w:t>
      </w:r>
      <w:r w:rsidR="009D5E54">
        <w:rPr>
          <w:rFonts w:cstheme="minorHAnsi"/>
          <w:sz w:val="24"/>
          <w:szCs w:val="24"/>
        </w:rPr>
        <w:t xml:space="preserve"> as possible, the bulk of the interview plan was based around ‘how’ and ‘why’ questions, which are more likely to generate explanatory, as opposed to exploratory or descriptive knowledge.</w:t>
      </w:r>
      <w:r w:rsidR="009D5E54">
        <w:rPr>
          <w:rStyle w:val="EndnoteReference"/>
          <w:rFonts w:cstheme="minorHAnsi"/>
          <w:sz w:val="24"/>
          <w:szCs w:val="24"/>
        </w:rPr>
        <w:endnoteReference w:id="1"/>
      </w:r>
      <w:r w:rsidR="009D5E54">
        <w:rPr>
          <w:rFonts w:cstheme="minorHAnsi"/>
          <w:sz w:val="24"/>
          <w:szCs w:val="24"/>
        </w:rPr>
        <w:t xml:space="preserve"> </w:t>
      </w:r>
      <w:r w:rsidR="00266B9A">
        <w:rPr>
          <w:rFonts w:cstheme="minorHAnsi"/>
          <w:sz w:val="24"/>
          <w:szCs w:val="24"/>
        </w:rPr>
        <w:t xml:space="preserve">However, in this </w:t>
      </w:r>
      <w:r w:rsidR="00FB68D0">
        <w:rPr>
          <w:rFonts w:cstheme="minorHAnsi"/>
          <w:sz w:val="24"/>
          <w:szCs w:val="24"/>
        </w:rPr>
        <w:t>case</w:t>
      </w:r>
      <w:r w:rsidR="004371FD">
        <w:rPr>
          <w:rFonts w:cstheme="minorHAnsi"/>
          <w:sz w:val="24"/>
          <w:szCs w:val="24"/>
        </w:rPr>
        <w:t xml:space="preserve"> these were inverted to become ‘why’ and ‘how’. </w:t>
      </w:r>
      <w:r w:rsidR="008E4DE0">
        <w:rPr>
          <w:rFonts w:cstheme="minorHAnsi"/>
          <w:sz w:val="24"/>
          <w:szCs w:val="24"/>
        </w:rPr>
        <w:t>Why has a particular c</w:t>
      </w:r>
      <w:r w:rsidR="00124AB0">
        <w:rPr>
          <w:rFonts w:cstheme="minorHAnsi"/>
          <w:sz w:val="24"/>
          <w:szCs w:val="24"/>
        </w:rPr>
        <w:t>ountry</w:t>
      </w:r>
      <w:r w:rsidR="008E4DE0">
        <w:rPr>
          <w:rFonts w:cstheme="minorHAnsi"/>
          <w:sz w:val="24"/>
          <w:szCs w:val="24"/>
        </w:rPr>
        <w:t xml:space="preserve"> had to respond to a specific terrorist threat and how has it responded? </w:t>
      </w:r>
    </w:p>
    <w:p w14:paraId="69564455" w14:textId="0E3AAC5D" w:rsidR="00A06C18" w:rsidRDefault="00F14A35" w:rsidP="00A06C18">
      <w:pPr>
        <w:jc w:val="both"/>
        <w:rPr>
          <w:rFonts w:cstheme="minorHAnsi"/>
          <w:sz w:val="24"/>
          <w:szCs w:val="24"/>
        </w:rPr>
      </w:pPr>
      <w:r>
        <w:rPr>
          <w:rFonts w:cstheme="minorHAnsi"/>
          <w:sz w:val="24"/>
          <w:szCs w:val="24"/>
        </w:rPr>
        <w:t xml:space="preserve">In a small number of cases where for operational or travel reasons it became impossible to conduct face to face interviews, the same interview plan was used as a questionnaire, to </w:t>
      </w:r>
      <w:r>
        <w:rPr>
          <w:rFonts w:cstheme="minorHAnsi"/>
          <w:sz w:val="24"/>
          <w:szCs w:val="24"/>
        </w:rPr>
        <w:lastRenderedPageBreak/>
        <w:t>obtain written responses, many of which proved to be extremely detailed.</w:t>
      </w:r>
      <w:r w:rsidR="002B3B69">
        <w:rPr>
          <w:rFonts w:cstheme="minorHAnsi"/>
          <w:sz w:val="24"/>
          <w:szCs w:val="24"/>
        </w:rPr>
        <w:t xml:space="preserve"> </w:t>
      </w:r>
      <w:r w:rsidR="00A06C18">
        <w:rPr>
          <w:rFonts w:cstheme="minorHAnsi"/>
          <w:sz w:val="24"/>
          <w:szCs w:val="24"/>
        </w:rPr>
        <w:t>T</w:t>
      </w:r>
      <w:r w:rsidR="00A06C18">
        <w:rPr>
          <w:rFonts w:cstheme="minorHAnsi"/>
          <w:sz w:val="24"/>
          <w:szCs w:val="24"/>
        </w:rPr>
        <w:t xml:space="preserve">he interview plan itself was divided into two main sections. The first was designed to capture data on the various types of terrorism – Religious, Nationalist-Separatist, Extreme Right Wing, Extreme Left Wing and Single Issue. The second to capture data on the different types of response – Diplomatic/Political, Legal, Security, Policing, Intelligence, Military/Paramilitary, Technological, Economic and their impact on Civil Liberties. </w:t>
      </w:r>
    </w:p>
    <w:p w14:paraId="228A6BB1" w14:textId="1FCB0793" w:rsidR="00821C7C" w:rsidRPr="00821C7C" w:rsidRDefault="00821C7C" w:rsidP="00A06C18">
      <w:pPr>
        <w:jc w:val="both"/>
        <w:rPr>
          <w:rFonts w:cstheme="minorHAnsi"/>
          <w:b/>
          <w:bCs/>
          <w:sz w:val="24"/>
          <w:szCs w:val="24"/>
          <w:u w:val="single"/>
        </w:rPr>
      </w:pPr>
      <w:r>
        <w:rPr>
          <w:rFonts w:cstheme="minorHAnsi"/>
          <w:b/>
          <w:bCs/>
          <w:sz w:val="24"/>
          <w:szCs w:val="24"/>
          <w:u w:val="single"/>
        </w:rPr>
        <w:t>Interviewees</w:t>
      </w:r>
    </w:p>
    <w:p w14:paraId="49DE951A" w14:textId="0F752A58" w:rsidR="00526704" w:rsidRDefault="00526704" w:rsidP="00526704">
      <w:pPr>
        <w:jc w:val="both"/>
        <w:rPr>
          <w:rFonts w:cstheme="minorHAnsi"/>
          <w:sz w:val="24"/>
          <w:szCs w:val="24"/>
        </w:rPr>
      </w:pPr>
      <w:r>
        <w:rPr>
          <w:rFonts w:cstheme="minorHAnsi"/>
          <w:sz w:val="24"/>
          <w:szCs w:val="24"/>
        </w:rPr>
        <w:t xml:space="preserve">The practitioner interviewees </w:t>
      </w:r>
      <w:r w:rsidR="00653521">
        <w:rPr>
          <w:rFonts w:cstheme="minorHAnsi"/>
          <w:sz w:val="24"/>
          <w:szCs w:val="24"/>
        </w:rPr>
        <w:t xml:space="preserve">themselves </w:t>
      </w:r>
      <w:r>
        <w:rPr>
          <w:rFonts w:cstheme="minorHAnsi"/>
          <w:sz w:val="24"/>
          <w:szCs w:val="24"/>
        </w:rPr>
        <w:t xml:space="preserve">were </w:t>
      </w:r>
      <w:r>
        <w:rPr>
          <w:rFonts w:cstheme="minorHAnsi"/>
          <w:sz w:val="24"/>
          <w:szCs w:val="24"/>
        </w:rPr>
        <w:t>divided into four broad categories: Senior and specialist policing and law-enforcement officers; Intelligence and security officials; Military specialists and police tactical units and a small number of academics and consultants. In the latter case, while the vast majority of interviewees were operational practitioners from the areas detailed, a limited number of academics and consultants, usually one or two per country, were interviewed. These often provided a much broader strategic overview of their country’s counter-terrorist responses, which proved complimentary to the more specific knowledge of the practitioners in their own particular field. The input of these academic experts also acted as a useful ‘control’ with which to assess the more specific interviews of the practitioners, and in some cases as an oversight helping inform further interviews. Where possible, academics with previous military, policing or intelligence service, or close ties to national units, were identified and interviewed. Given their various specialisations, all the practitioner interviewees can be regarded as ‘key informant’ interviews, due to their privileged positions and access to subject matter knowledge and expertise.</w:t>
      </w:r>
      <w:r>
        <w:rPr>
          <w:rStyle w:val="EndnoteReference"/>
          <w:rFonts w:cstheme="minorHAnsi"/>
          <w:sz w:val="24"/>
          <w:szCs w:val="24"/>
        </w:rPr>
        <w:endnoteReference w:id="2"/>
      </w:r>
      <w:r>
        <w:rPr>
          <w:rFonts w:cstheme="minorHAnsi"/>
          <w:sz w:val="24"/>
          <w:szCs w:val="24"/>
        </w:rPr>
        <w:t xml:space="preserve"> </w:t>
      </w:r>
    </w:p>
    <w:p w14:paraId="3ACD63EF" w14:textId="3C62BDAB" w:rsidR="0034363D" w:rsidRPr="0034363D" w:rsidRDefault="0034363D" w:rsidP="00526704">
      <w:pPr>
        <w:jc w:val="both"/>
        <w:rPr>
          <w:rFonts w:cstheme="minorHAnsi"/>
          <w:b/>
          <w:bCs/>
          <w:sz w:val="24"/>
          <w:szCs w:val="24"/>
          <w:u w:val="single"/>
        </w:rPr>
      </w:pPr>
      <w:r>
        <w:rPr>
          <w:rFonts w:cstheme="minorHAnsi"/>
          <w:b/>
          <w:bCs/>
          <w:sz w:val="24"/>
          <w:szCs w:val="24"/>
          <w:u w:val="single"/>
        </w:rPr>
        <w:t xml:space="preserve">Bias </w:t>
      </w:r>
    </w:p>
    <w:p w14:paraId="7FF4ABC0" w14:textId="77777777" w:rsidR="00EA1F63" w:rsidRDefault="005D5AED" w:rsidP="005D5AED">
      <w:pPr>
        <w:jc w:val="both"/>
        <w:rPr>
          <w:rFonts w:cstheme="minorHAnsi"/>
          <w:sz w:val="24"/>
          <w:szCs w:val="24"/>
        </w:rPr>
      </w:pPr>
      <w:r>
        <w:rPr>
          <w:rFonts w:cstheme="minorHAnsi"/>
          <w:sz w:val="24"/>
          <w:szCs w:val="24"/>
        </w:rPr>
        <w:t>Potential problems of bias were negated through the multitude of different organisations and roles covered by over 170 interviews in seven countries. The military ranged in rank from Rear Admiral, full Colonel and Wing Commander, to Sergeant, covering such areas as military intelligence, surveillance, source handling, bomb disposal, maritime security, air policing, both maritime and land special forces and hostage rescue. The policing interviewees ranged in rank from Commissioner/ Chief Constable to Detective Constable and as well as senior command, covered various experience and expertise, such as intelligence analysis, source handling, anti-terrorist and financial investigation, bomb disposal and tactical firearms teams.</w:t>
      </w:r>
      <w:r>
        <w:rPr>
          <w:rStyle w:val="EndnoteReference"/>
          <w:rFonts w:cstheme="minorHAnsi"/>
          <w:sz w:val="24"/>
          <w:szCs w:val="24"/>
        </w:rPr>
        <w:endnoteReference w:id="3"/>
      </w:r>
      <w:r>
        <w:rPr>
          <w:rFonts w:cstheme="minorHAnsi"/>
          <w:sz w:val="24"/>
          <w:szCs w:val="24"/>
        </w:rPr>
        <w:t xml:space="preserve"> Likewise, intelligence officials covered from strategic to field intelligence, both domestic and foreign intelligence, surveillance, joint fusion and particular areas of expertise, such as Human Intelligence (HUMINT) and Technical Intelligence (TECHINT). Security officials ranged from aviation ‘Sky Marshals’ to specialists on rail and building security, to Close Protection (CP) ‘bodyguards’. </w:t>
      </w:r>
    </w:p>
    <w:p w14:paraId="2E51CF5B" w14:textId="2B02C634" w:rsidR="005D5AED" w:rsidRDefault="00EA1F63" w:rsidP="005D5AED">
      <w:pPr>
        <w:jc w:val="both"/>
        <w:rPr>
          <w:rFonts w:cstheme="minorHAnsi"/>
          <w:sz w:val="24"/>
          <w:szCs w:val="24"/>
        </w:rPr>
      </w:pPr>
      <w:r>
        <w:rPr>
          <w:rFonts w:cstheme="minorHAnsi"/>
          <w:b/>
          <w:bCs/>
          <w:sz w:val="24"/>
          <w:szCs w:val="24"/>
          <w:u w:val="single"/>
        </w:rPr>
        <w:t>Gender</w:t>
      </w:r>
      <w:r w:rsidR="005D5AED">
        <w:rPr>
          <w:rFonts w:cstheme="minorHAnsi"/>
          <w:sz w:val="24"/>
          <w:szCs w:val="24"/>
        </w:rPr>
        <w:t xml:space="preserve"> </w:t>
      </w:r>
    </w:p>
    <w:p w14:paraId="53657673" w14:textId="350F40A6" w:rsidR="000A1066" w:rsidRDefault="000A1066" w:rsidP="005D5AED">
      <w:pPr>
        <w:jc w:val="both"/>
        <w:rPr>
          <w:rFonts w:cstheme="minorHAnsi"/>
          <w:sz w:val="24"/>
          <w:szCs w:val="24"/>
        </w:rPr>
      </w:pPr>
      <w:r>
        <w:rPr>
          <w:rFonts w:cstheme="minorHAnsi"/>
          <w:sz w:val="24"/>
          <w:szCs w:val="24"/>
        </w:rPr>
        <w:t xml:space="preserve">From a Gender perspective, while the majority of interviewees were male, a number were female counter-terrorist practitioners, many at senior rank. While not so strongly represented amongst the military interviewees, these included a UK Police Commander, a French intelligence specialist, a senior Intelligence Analyst with the US Federal Bureau of Investigation (FBI), a senior official with the US Department of Homeland Security (DHS) and a French </w:t>
      </w:r>
      <w:r>
        <w:rPr>
          <w:rFonts w:cstheme="minorHAnsi"/>
          <w:sz w:val="24"/>
          <w:szCs w:val="24"/>
        </w:rPr>
        <w:lastRenderedPageBreak/>
        <w:t xml:space="preserve">academic. Sutalan points out that </w:t>
      </w:r>
      <w:r>
        <w:rPr>
          <w:rFonts w:cstheme="minorHAnsi"/>
          <w:i/>
          <w:iCs/>
          <w:sz w:val="24"/>
          <w:szCs w:val="24"/>
        </w:rPr>
        <w:t>“there are only 15% of women globally in police and border guards, with only 10% in the police. This situation is somewhat better in Europe with 20%. However, the issue of women’s recruitment in law enforcement and the military is crucial. How to encourage women to participate in law enforcement and the military is an issue as important as communicating gender issues and increasing gender awareness of men and leaders in law enforcement and the military.”</w:t>
      </w:r>
      <w:r w:rsidRPr="00321817">
        <w:rPr>
          <w:rStyle w:val="EndnoteReference"/>
          <w:rFonts w:cstheme="minorHAnsi"/>
          <w:sz w:val="24"/>
          <w:szCs w:val="24"/>
        </w:rPr>
        <w:endnoteReference w:id="4"/>
      </w:r>
      <w:r>
        <w:rPr>
          <w:rFonts w:cstheme="minorHAnsi"/>
          <w:sz w:val="24"/>
          <w:szCs w:val="24"/>
        </w:rPr>
        <w:t xml:space="preserve"> The interviews supported both the increasing involvement of women in counter-terrorism and security roles, as well as highlighting their agency and utility, particularly in certain specialist roles, such as intelligence analysis, source handling, covert surveillance, tactical firearms and community engagement.</w:t>
      </w:r>
      <w:r>
        <w:rPr>
          <w:rStyle w:val="EndnoteReference"/>
          <w:rFonts w:cstheme="minorHAnsi"/>
          <w:sz w:val="24"/>
          <w:szCs w:val="24"/>
        </w:rPr>
        <w:endnoteReference w:id="5"/>
      </w:r>
      <w:r>
        <w:rPr>
          <w:rFonts w:cstheme="minorHAnsi"/>
          <w:sz w:val="24"/>
          <w:szCs w:val="24"/>
        </w:rPr>
        <w:t xml:space="preserve">  </w:t>
      </w:r>
    </w:p>
    <w:p w14:paraId="7C992F13" w14:textId="1727554F" w:rsidR="007935BF" w:rsidRPr="007935BF" w:rsidRDefault="007935BF" w:rsidP="005D5AED">
      <w:pPr>
        <w:jc w:val="both"/>
        <w:rPr>
          <w:rFonts w:cstheme="minorHAnsi"/>
          <w:b/>
          <w:bCs/>
          <w:sz w:val="24"/>
          <w:szCs w:val="24"/>
          <w:u w:val="single"/>
        </w:rPr>
      </w:pPr>
      <w:r>
        <w:rPr>
          <w:rFonts w:cstheme="minorHAnsi"/>
          <w:b/>
          <w:bCs/>
          <w:sz w:val="24"/>
          <w:szCs w:val="24"/>
          <w:u w:val="single"/>
        </w:rPr>
        <w:t>Grounded Theory</w:t>
      </w:r>
    </w:p>
    <w:p w14:paraId="13CF987C" w14:textId="77777777" w:rsidR="00EE7360" w:rsidRDefault="00EE7360" w:rsidP="00EE7360">
      <w:pPr>
        <w:jc w:val="both"/>
        <w:rPr>
          <w:rFonts w:cstheme="minorHAnsi"/>
          <w:sz w:val="24"/>
          <w:szCs w:val="24"/>
        </w:rPr>
      </w:pPr>
      <w:r>
        <w:rPr>
          <w:rFonts w:cstheme="minorHAnsi"/>
          <w:sz w:val="24"/>
          <w:szCs w:val="24"/>
        </w:rPr>
        <w:t>Once the interview data had been obtained, the material in the resultant transcripts was subjected to a comparative code-based thematic analysis as part of a Grounded Theory variant. Such a research method allowed a great deal of flexibility in the initial stages of the gathering and processing of the research data and given the complex nature of the subject field, this initial flexibility was essential, allowing the necessary range for objective comparative analysis. The research methodology, which was originally outlined by Glaser and Strauss</w:t>
      </w:r>
      <w:r>
        <w:rPr>
          <w:rStyle w:val="EndnoteReference"/>
          <w:rFonts w:cstheme="minorHAnsi"/>
          <w:sz w:val="24"/>
          <w:szCs w:val="24"/>
        </w:rPr>
        <w:endnoteReference w:id="6"/>
      </w:r>
      <w:r>
        <w:rPr>
          <w:rFonts w:cstheme="minorHAnsi"/>
          <w:sz w:val="24"/>
          <w:szCs w:val="24"/>
        </w:rPr>
        <w:t>, and further developed by Strauss and Corbin</w:t>
      </w:r>
      <w:r>
        <w:rPr>
          <w:rStyle w:val="EndnoteReference"/>
          <w:rFonts w:cstheme="minorHAnsi"/>
          <w:sz w:val="24"/>
          <w:szCs w:val="24"/>
        </w:rPr>
        <w:endnoteReference w:id="7"/>
      </w:r>
      <w:r>
        <w:rPr>
          <w:rFonts w:cstheme="minorHAnsi"/>
          <w:sz w:val="24"/>
          <w:szCs w:val="24"/>
        </w:rPr>
        <w:t>, has been described as a form of ‘constant comparative textual analysis’.</w:t>
      </w:r>
      <w:r>
        <w:rPr>
          <w:rStyle w:val="EndnoteReference"/>
          <w:rFonts w:cstheme="minorHAnsi"/>
          <w:sz w:val="24"/>
          <w:szCs w:val="24"/>
        </w:rPr>
        <w:endnoteReference w:id="8"/>
      </w:r>
      <w:r>
        <w:rPr>
          <w:rFonts w:cstheme="minorHAnsi"/>
          <w:sz w:val="24"/>
          <w:szCs w:val="24"/>
        </w:rPr>
        <w:t xml:space="preserve"> Grounded Theory applies an inductive approach to qualitative data, with a systematic comparative analysis of collected data being coded to identify emerging themes and categories, which in this case saw the emergence of ‘human factors’. </w:t>
      </w:r>
    </w:p>
    <w:p w14:paraId="1E198CD0" w14:textId="77777777" w:rsidR="00EE7360" w:rsidRDefault="00EE7360" w:rsidP="00EE7360">
      <w:pPr>
        <w:ind w:left="720"/>
        <w:jc w:val="both"/>
        <w:rPr>
          <w:rFonts w:cstheme="minorHAnsi"/>
          <w:sz w:val="24"/>
          <w:szCs w:val="24"/>
        </w:rPr>
      </w:pPr>
      <w:r>
        <w:rPr>
          <w:rFonts w:cstheme="minorHAnsi"/>
          <w:i/>
          <w:iCs/>
          <w:sz w:val="24"/>
          <w:szCs w:val="24"/>
        </w:rPr>
        <w:t>“The flexible conceptual framework of grounded theory means that it is applicable to a wide range of field research on real-world phenomena. It is best suited when examining a medium number of qualitative data sources, such as a series of transcribed interviews from key informants with insight into the particular field or case study being researched.”</w:t>
      </w:r>
      <w:r w:rsidRPr="00406D5A">
        <w:rPr>
          <w:rStyle w:val="EndnoteReference"/>
          <w:rFonts w:cstheme="minorHAnsi"/>
          <w:sz w:val="24"/>
          <w:szCs w:val="24"/>
        </w:rPr>
        <w:t xml:space="preserve"> </w:t>
      </w:r>
      <w:r>
        <w:rPr>
          <w:rStyle w:val="EndnoteReference"/>
          <w:rFonts w:cstheme="minorHAnsi"/>
          <w:sz w:val="24"/>
          <w:szCs w:val="24"/>
        </w:rPr>
        <w:endnoteReference w:id="9"/>
      </w:r>
      <w:r>
        <w:rPr>
          <w:rFonts w:cstheme="minorHAnsi"/>
          <w:sz w:val="24"/>
          <w:szCs w:val="24"/>
        </w:rPr>
        <w:t xml:space="preserve"> </w:t>
      </w:r>
    </w:p>
    <w:p w14:paraId="553BD124" w14:textId="58ECF948" w:rsidR="00EE7360" w:rsidRDefault="00EE7360" w:rsidP="00EE7360">
      <w:pPr>
        <w:jc w:val="both"/>
        <w:rPr>
          <w:rFonts w:cstheme="minorHAnsi"/>
          <w:sz w:val="24"/>
          <w:szCs w:val="24"/>
        </w:rPr>
      </w:pPr>
      <w:r>
        <w:rPr>
          <w:rFonts w:cstheme="minorHAnsi"/>
          <w:sz w:val="24"/>
          <w:szCs w:val="24"/>
        </w:rPr>
        <w:t>Consequently, Grounded Theory was ideally suited to the evaluation of the interview data. This was</w:t>
      </w:r>
      <w:r w:rsidR="00405F1B">
        <w:rPr>
          <w:rFonts w:cstheme="minorHAnsi"/>
          <w:sz w:val="24"/>
          <w:szCs w:val="24"/>
        </w:rPr>
        <w:t xml:space="preserve"> fragmented into </w:t>
      </w:r>
      <w:r w:rsidR="000818C9">
        <w:rPr>
          <w:rFonts w:cstheme="minorHAnsi"/>
          <w:sz w:val="24"/>
          <w:szCs w:val="24"/>
        </w:rPr>
        <w:t>issues and themes before being</w:t>
      </w:r>
      <w:r>
        <w:rPr>
          <w:rFonts w:cstheme="minorHAnsi"/>
          <w:sz w:val="24"/>
          <w:szCs w:val="24"/>
        </w:rPr>
        <w:t xml:space="preserve"> manually coded by the author</w:t>
      </w:r>
      <w:r w:rsidRPr="00A46C85">
        <w:rPr>
          <w:rFonts w:cstheme="minorHAnsi"/>
          <w:sz w:val="24"/>
          <w:szCs w:val="24"/>
        </w:rPr>
        <w:t>, as opposed to using a</w:t>
      </w:r>
      <w:r>
        <w:rPr>
          <w:rFonts w:cstheme="minorHAnsi"/>
          <w:sz w:val="24"/>
          <w:szCs w:val="24"/>
        </w:rPr>
        <w:t xml:space="preserve"> Qualitative Data Analysis (QDA) computer software tool such as NVivo</w:t>
      </w:r>
      <w:r w:rsidRPr="00A46C85">
        <w:rPr>
          <w:rFonts w:cstheme="minorHAnsi"/>
          <w:sz w:val="24"/>
          <w:szCs w:val="24"/>
        </w:rPr>
        <w:t>, in</w:t>
      </w:r>
      <w:r>
        <w:rPr>
          <w:rFonts w:cstheme="minorHAnsi"/>
          <w:sz w:val="24"/>
          <w:szCs w:val="24"/>
        </w:rPr>
        <w:t xml:space="preserve"> order to better identify the emerging themes and issues, while generating familiarity. The resulting process then linked and integrated categories and subcategories in the collected data around the central category of ‘human factors’, and the ‘higher codes’ of Personal relationships, Individual Capabilities, Effective Leadership, Technical Interface, Organisational Culture and Community Engagement. </w:t>
      </w:r>
    </w:p>
    <w:p w14:paraId="7DDE9D96" w14:textId="4967E5A9" w:rsidR="00B46589" w:rsidRPr="00B46589" w:rsidRDefault="00B46589" w:rsidP="00EE7360">
      <w:pPr>
        <w:jc w:val="both"/>
        <w:rPr>
          <w:rFonts w:cstheme="minorHAnsi"/>
          <w:b/>
          <w:bCs/>
          <w:sz w:val="24"/>
          <w:szCs w:val="24"/>
          <w:u w:val="single"/>
        </w:rPr>
      </w:pPr>
      <w:r>
        <w:rPr>
          <w:rFonts w:cstheme="minorHAnsi"/>
          <w:b/>
          <w:bCs/>
          <w:sz w:val="24"/>
          <w:szCs w:val="24"/>
          <w:u w:val="single"/>
        </w:rPr>
        <w:t>Data Tables</w:t>
      </w:r>
    </w:p>
    <w:p w14:paraId="72D33A27" w14:textId="4125CE92" w:rsidR="00EE7360" w:rsidRDefault="00EE7360" w:rsidP="00EE7360">
      <w:pPr>
        <w:jc w:val="both"/>
        <w:rPr>
          <w:rFonts w:cstheme="minorHAnsi"/>
          <w:sz w:val="24"/>
          <w:szCs w:val="24"/>
        </w:rPr>
      </w:pPr>
      <w:r>
        <w:rPr>
          <w:rFonts w:cstheme="minorHAnsi"/>
          <w:sz w:val="24"/>
          <w:szCs w:val="24"/>
        </w:rPr>
        <w:t xml:space="preserve">Throughout the comparative chapters of the book are a series of </w:t>
      </w:r>
      <w:r w:rsidR="001A2B61">
        <w:rPr>
          <w:rFonts w:cstheme="minorHAnsi"/>
          <w:sz w:val="24"/>
          <w:szCs w:val="24"/>
        </w:rPr>
        <w:t>twenty-three</w:t>
      </w:r>
      <w:r w:rsidR="00245601">
        <w:rPr>
          <w:rFonts w:cstheme="minorHAnsi"/>
          <w:sz w:val="24"/>
          <w:szCs w:val="24"/>
        </w:rPr>
        <w:t xml:space="preserve"> (</w:t>
      </w:r>
      <w:r>
        <w:rPr>
          <w:rFonts w:cstheme="minorHAnsi"/>
          <w:sz w:val="24"/>
          <w:szCs w:val="24"/>
        </w:rPr>
        <w:t>23</w:t>
      </w:r>
      <w:r w:rsidR="00245601">
        <w:rPr>
          <w:rFonts w:cstheme="minorHAnsi"/>
          <w:sz w:val="24"/>
          <w:szCs w:val="24"/>
        </w:rPr>
        <w:t>)</w:t>
      </w:r>
      <w:r>
        <w:rPr>
          <w:rFonts w:cstheme="minorHAnsi"/>
          <w:sz w:val="24"/>
          <w:szCs w:val="24"/>
        </w:rPr>
        <w:t xml:space="preserve"> tiered data tables. These tables are populated with specific issues that were raised by the interviewees, allowing a ranking of substantive (not statistical) significance, as perceived by the interviewees, through a level of frequency analysis. This frequency analysis provides a ‘Quantitative’ element from the ‘Qualitative’ interview data, allowing a perceived weighting of the various counter-terrorist measures by the practitioners, supported by their ‘Qualitative’ </w:t>
      </w:r>
      <w:r>
        <w:rPr>
          <w:rFonts w:cstheme="minorHAnsi"/>
          <w:sz w:val="24"/>
          <w:szCs w:val="24"/>
        </w:rPr>
        <w:lastRenderedPageBreak/>
        <w:t xml:space="preserve">descriptions of such measures. Using such a ranking of perceived significance allows a data frequency analysis, where for example if out of 20 national interviewees, 15 interviewees mentioned a particular measure as a critical part of the national counter-terrorist response, a 75% score would be allocated. The various ‘scored’ counter-terrorist measures are then displayed on the tables in ‘Tiers’. These ‘Tiers’ are organised into three levels based on the perceived ranking by the relevant national interviewees: </w:t>
      </w:r>
    </w:p>
    <w:p w14:paraId="2C6ACF79" w14:textId="77777777" w:rsidR="00EE7360" w:rsidRDefault="00EE7360" w:rsidP="00EE7360">
      <w:pPr>
        <w:pStyle w:val="ListParagraph"/>
        <w:numPr>
          <w:ilvl w:val="0"/>
          <w:numId w:val="39"/>
        </w:numPr>
        <w:jc w:val="both"/>
        <w:rPr>
          <w:rFonts w:cstheme="minorHAnsi"/>
          <w:b/>
          <w:bCs/>
          <w:sz w:val="24"/>
          <w:szCs w:val="24"/>
        </w:rPr>
      </w:pPr>
      <w:r>
        <w:rPr>
          <w:rFonts w:cstheme="minorHAnsi"/>
          <w:b/>
          <w:bCs/>
          <w:sz w:val="24"/>
          <w:szCs w:val="24"/>
        </w:rPr>
        <w:t>‘Tier 1’ = &gt; 66% (Above 66% – More than two thirds)</w:t>
      </w:r>
    </w:p>
    <w:p w14:paraId="18A61E9D" w14:textId="77777777" w:rsidR="00EE7360" w:rsidRDefault="00EE7360" w:rsidP="00EE7360">
      <w:pPr>
        <w:pStyle w:val="ListParagraph"/>
        <w:jc w:val="both"/>
        <w:rPr>
          <w:rFonts w:cstheme="minorHAnsi"/>
          <w:b/>
          <w:bCs/>
          <w:sz w:val="24"/>
          <w:szCs w:val="24"/>
        </w:rPr>
      </w:pPr>
    </w:p>
    <w:p w14:paraId="37F135B7" w14:textId="77777777" w:rsidR="00EE7360" w:rsidRDefault="00EE7360" w:rsidP="00EE7360">
      <w:pPr>
        <w:pStyle w:val="ListParagraph"/>
        <w:numPr>
          <w:ilvl w:val="0"/>
          <w:numId w:val="39"/>
        </w:numPr>
        <w:jc w:val="both"/>
        <w:rPr>
          <w:rFonts w:cstheme="minorHAnsi"/>
          <w:b/>
          <w:bCs/>
          <w:sz w:val="24"/>
          <w:szCs w:val="24"/>
        </w:rPr>
      </w:pPr>
      <w:r>
        <w:rPr>
          <w:rFonts w:cstheme="minorHAnsi"/>
          <w:b/>
          <w:bCs/>
          <w:sz w:val="24"/>
          <w:szCs w:val="24"/>
        </w:rPr>
        <w:t>‘Tier 2’ = 33% to 66% (One third to two thirds)</w:t>
      </w:r>
    </w:p>
    <w:p w14:paraId="3BA68EAA" w14:textId="77777777" w:rsidR="00EE7360" w:rsidRPr="00D11AE2" w:rsidRDefault="00EE7360" w:rsidP="00EE7360">
      <w:pPr>
        <w:pStyle w:val="ListParagraph"/>
        <w:rPr>
          <w:rFonts w:cstheme="minorHAnsi"/>
          <w:b/>
          <w:bCs/>
          <w:sz w:val="24"/>
          <w:szCs w:val="24"/>
        </w:rPr>
      </w:pPr>
    </w:p>
    <w:p w14:paraId="7FBBD9C9" w14:textId="77777777" w:rsidR="00EE7360" w:rsidRPr="00BC1026" w:rsidRDefault="00EE7360" w:rsidP="00EE7360">
      <w:pPr>
        <w:pStyle w:val="ListParagraph"/>
        <w:numPr>
          <w:ilvl w:val="0"/>
          <w:numId w:val="39"/>
        </w:numPr>
        <w:jc w:val="both"/>
        <w:rPr>
          <w:rFonts w:cstheme="minorHAnsi"/>
          <w:b/>
          <w:bCs/>
          <w:sz w:val="24"/>
          <w:szCs w:val="24"/>
        </w:rPr>
      </w:pPr>
      <w:r>
        <w:rPr>
          <w:rFonts w:cstheme="minorHAnsi"/>
          <w:b/>
          <w:bCs/>
          <w:sz w:val="24"/>
          <w:szCs w:val="24"/>
        </w:rPr>
        <w:t>‘Tier 3’ = &lt; 33% (Below 33% - Less than one third)</w:t>
      </w:r>
    </w:p>
    <w:p w14:paraId="649EDF8A" w14:textId="10C15BB8" w:rsidR="00EE7360" w:rsidRDefault="00EE7360" w:rsidP="00EE7360">
      <w:pPr>
        <w:jc w:val="both"/>
        <w:rPr>
          <w:rFonts w:cstheme="minorHAnsi"/>
          <w:sz w:val="24"/>
          <w:szCs w:val="24"/>
        </w:rPr>
      </w:pPr>
      <w:r>
        <w:rPr>
          <w:rFonts w:cstheme="minorHAnsi"/>
          <w:sz w:val="24"/>
          <w:szCs w:val="24"/>
        </w:rPr>
        <w:t>The resultant grouping of counter-terrorist measures, both by subject and ‘tier’ in these tables has been used to inform and enhance the comparative chapters of the book. However, it is important to note that even though a particular measure is only mentioned by a few interviewees and perceived as ‘Tier 3’, it has still been raised by ‘practitioners’ and has a level of significance. Finally, a number of important outliers emerged, which shed an interesting and original</w:t>
      </w:r>
      <w:r w:rsidR="007E0E0A">
        <w:rPr>
          <w:rFonts w:cstheme="minorHAnsi"/>
          <w:sz w:val="24"/>
          <w:szCs w:val="24"/>
        </w:rPr>
        <w:t xml:space="preserve"> critical</w:t>
      </w:r>
      <w:r>
        <w:rPr>
          <w:rFonts w:cstheme="minorHAnsi"/>
          <w:sz w:val="24"/>
          <w:szCs w:val="24"/>
        </w:rPr>
        <w:t xml:space="preserve"> perspective on certain measures and the ‘human factors’ behind them, contrasting with the majority perception, and these have been highlighted in the book.</w:t>
      </w:r>
    </w:p>
    <w:p w14:paraId="05681A0C" w14:textId="46492856" w:rsidR="00AD5ED6" w:rsidRPr="00AD5ED6" w:rsidRDefault="00AD5ED6" w:rsidP="00EE7360">
      <w:pPr>
        <w:jc w:val="both"/>
        <w:rPr>
          <w:rFonts w:cstheme="minorHAnsi"/>
          <w:b/>
          <w:bCs/>
          <w:sz w:val="24"/>
          <w:szCs w:val="24"/>
          <w:u w:val="single"/>
        </w:rPr>
      </w:pPr>
      <w:r w:rsidRPr="00AD5ED6">
        <w:rPr>
          <w:rFonts w:cstheme="minorHAnsi"/>
          <w:b/>
          <w:bCs/>
          <w:sz w:val="24"/>
          <w:szCs w:val="24"/>
          <w:u w:val="single"/>
        </w:rPr>
        <w:t>Timeframe</w:t>
      </w:r>
    </w:p>
    <w:p w14:paraId="7F9D5077" w14:textId="383D1FF3" w:rsidR="00AD5ED6" w:rsidRPr="00853CCD" w:rsidRDefault="00AD5ED6" w:rsidP="00AD5ED6">
      <w:pPr>
        <w:jc w:val="both"/>
        <w:rPr>
          <w:rFonts w:cstheme="minorHAnsi"/>
          <w:sz w:val="24"/>
          <w:szCs w:val="24"/>
        </w:rPr>
      </w:pPr>
      <w:r>
        <w:rPr>
          <w:rFonts w:cstheme="minorHAnsi"/>
          <w:sz w:val="24"/>
          <w:szCs w:val="24"/>
        </w:rPr>
        <w:t xml:space="preserve">The interview collection, </w:t>
      </w:r>
      <w:r w:rsidR="00A33417">
        <w:rPr>
          <w:rFonts w:cstheme="minorHAnsi"/>
          <w:sz w:val="24"/>
          <w:szCs w:val="24"/>
        </w:rPr>
        <w:t xml:space="preserve">manual </w:t>
      </w:r>
      <w:r>
        <w:rPr>
          <w:rFonts w:cstheme="minorHAnsi"/>
          <w:sz w:val="24"/>
          <w:szCs w:val="24"/>
        </w:rPr>
        <w:t xml:space="preserve">coding, processing and analysis behind this publication took over a decade, between 2004 and 2015. While this may be seen as slightly dated, it is argued that since the focus </w:t>
      </w:r>
      <w:r w:rsidR="00B673AA">
        <w:rPr>
          <w:rFonts w:cstheme="minorHAnsi"/>
          <w:sz w:val="24"/>
          <w:szCs w:val="24"/>
        </w:rPr>
        <w:t xml:space="preserve">of the book is </w:t>
      </w:r>
      <w:r>
        <w:rPr>
          <w:rFonts w:cstheme="minorHAnsi"/>
          <w:sz w:val="24"/>
          <w:szCs w:val="24"/>
        </w:rPr>
        <w:t xml:space="preserve">on ‘human factors’ the points and issues raised are still highly relevant and pertinent to the comparative study, while the publication has been brought up to date with the latest issues and developments. Consequently, </w:t>
      </w:r>
      <w:r w:rsidR="00153624">
        <w:rPr>
          <w:rFonts w:cstheme="minorHAnsi"/>
          <w:sz w:val="24"/>
          <w:szCs w:val="24"/>
        </w:rPr>
        <w:t xml:space="preserve">the timeframe ensures that </w:t>
      </w:r>
      <w:r>
        <w:rPr>
          <w:rFonts w:cstheme="minorHAnsi"/>
          <w:sz w:val="24"/>
          <w:szCs w:val="24"/>
        </w:rPr>
        <w:t>along with an additional level of anonymity and source protection, the interviews covered the aftermath of the 9/11 attacks, where many of the practitioners were facing new types of terrorist threat, but also had much experience in dealing with previous types of nationalist-separatist or political threats.</w:t>
      </w:r>
      <w:r>
        <w:rPr>
          <w:rStyle w:val="EndnoteReference"/>
          <w:rFonts w:cstheme="minorHAnsi"/>
          <w:sz w:val="24"/>
          <w:szCs w:val="24"/>
        </w:rPr>
        <w:endnoteReference w:id="10"/>
      </w:r>
      <w:r>
        <w:rPr>
          <w:rFonts w:cstheme="minorHAnsi"/>
          <w:sz w:val="24"/>
          <w:szCs w:val="24"/>
        </w:rPr>
        <w:t xml:space="preserve"> This added additional comparative dimensions and input to the study. Where practitioners discussed </w:t>
      </w:r>
      <w:r w:rsidR="00DF48DC">
        <w:rPr>
          <w:rFonts w:cstheme="minorHAnsi"/>
          <w:sz w:val="24"/>
          <w:szCs w:val="24"/>
        </w:rPr>
        <w:t xml:space="preserve">their experience of </w:t>
      </w:r>
      <w:r>
        <w:rPr>
          <w:rFonts w:cstheme="minorHAnsi"/>
          <w:sz w:val="24"/>
          <w:szCs w:val="24"/>
        </w:rPr>
        <w:t>counter-insurgency in Iraq or Afghanistan, this has been included, as the points raised are relevant to the comparative study.</w:t>
      </w:r>
      <w:r>
        <w:rPr>
          <w:rStyle w:val="EndnoteReference"/>
          <w:rFonts w:cstheme="minorHAnsi"/>
          <w:sz w:val="24"/>
          <w:szCs w:val="24"/>
        </w:rPr>
        <w:endnoteReference w:id="11"/>
      </w:r>
      <w:r>
        <w:rPr>
          <w:rFonts w:cstheme="minorHAnsi"/>
          <w:sz w:val="24"/>
          <w:szCs w:val="24"/>
        </w:rPr>
        <w:t xml:space="preserve"> </w:t>
      </w:r>
    </w:p>
    <w:p w14:paraId="311FDC43" w14:textId="7B264858" w:rsidR="005D5AED" w:rsidRDefault="0019162B" w:rsidP="00526704">
      <w:pPr>
        <w:jc w:val="both"/>
        <w:rPr>
          <w:rFonts w:cstheme="minorHAnsi"/>
          <w:b/>
          <w:bCs/>
          <w:sz w:val="24"/>
          <w:szCs w:val="24"/>
          <w:u w:val="single"/>
        </w:rPr>
      </w:pPr>
      <w:r>
        <w:rPr>
          <w:rFonts w:cstheme="minorHAnsi"/>
          <w:b/>
          <w:bCs/>
          <w:sz w:val="24"/>
          <w:szCs w:val="24"/>
          <w:u w:val="single"/>
        </w:rPr>
        <w:t>Concluding Summary</w:t>
      </w:r>
    </w:p>
    <w:p w14:paraId="7B2A8360" w14:textId="77777777" w:rsidR="0019162B" w:rsidRPr="006D0ADC" w:rsidRDefault="0019162B" w:rsidP="0019162B">
      <w:pPr>
        <w:jc w:val="both"/>
        <w:rPr>
          <w:rFonts w:cstheme="minorHAnsi"/>
          <w:sz w:val="24"/>
          <w:szCs w:val="24"/>
        </w:rPr>
      </w:pPr>
      <w:r w:rsidRPr="006D0ADC">
        <w:rPr>
          <w:sz w:val="24"/>
          <w:szCs w:val="24"/>
        </w:rPr>
        <w:t xml:space="preserve">In summary, the </w:t>
      </w:r>
      <w:r>
        <w:rPr>
          <w:sz w:val="24"/>
          <w:szCs w:val="24"/>
        </w:rPr>
        <w:t xml:space="preserve">methodology </w:t>
      </w:r>
      <w:r w:rsidRPr="006D0ADC">
        <w:rPr>
          <w:sz w:val="24"/>
          <w:szCs w:val="24"/>
        </w:rPr>
        <w:t xml:space="preserve">underpinning this book consisted of three main phases: Interview plan and </w:t>
      </w:r>
      <w:r>
        <w:rPr>
          <w:sz w:val="24"/>
          <w:szCs w:val="24"/>
        </w:rPr>
        <w:t xml:space="preserve">data </w:t>
      </w:r>
      <w:r w:rsidRPr="006D0ADC">
        <w:rPr>
          <w:sz w:val="24"/>
          <w:szCs w:val="24"/>
        </w:rPr>
        <w:t>collection, a Grounded Theory variant</w:t>
      </w:r>
      <w:r>
        <w:rPr>
          <w:sz w:val="24"/>
          <w:szCs w:val="24"/>
        </w:rPr>
        <w:t xml:space="preserve"> to process the data</w:t>
      </w:r>
      <w:r w:rsidRPr="006D0ADC">
        <w:rPr>
          <w:sz w:val="24"/>
          <w:szCs w:val="24"/>
        </w:rPr>
        <w:t>,</w:t>
      </w:r>
      <w:r>
        <w:rPr>
          <w:sz w:val="24"/>
          <w:szCs w:val="24"/>
        </w:rPr>
        <w:t xml:space="preserve"> and the</w:t>
      </w:r>
      <w:r w:rsidRPr="006D0ADC">
        <w:rPr>
          <w:sz w:val="24"/>
          <w:szCs w:val="24"/>
        </w:rPr>
        <w:t xml:space="preserve"> data tables and frequency analysis. This provided a multi-case, multi-field and comparative approach, which proved a useful way to process the data and examine the various case study countries’ counter-terrorist measures, in particular their effectiveness, proportionality and the ‘human factors’ behind them. It also facilitated a comparative study of the data, by country, type of organisation and thematically, all of which assisted in highlighting key themes for writing this book.</w:t>
      </w:r>
    </w:p>
    <w:p w14:paraId="04C7AC52" w14:textId="77777777" w:rsidR="0019162B" w:rsidRPr="0019162B" w:rsidRDefault="0019162B" w:rsidP="00526704">
      <w:pPr>
        <w:jc w:val="both"/>
        <w:rPr>
          <w:rFonts w:cstheme="minorHAnsi"/>
          <w:b/>
          <w:bCs/>
          <w:sz w:val="24"/>
          <w:szCs w:val="24"/>
          <w:u w:val="single"/>
        </w:rPr>
      </w:pPr>
    </w:p>
    <w:p w14:paraId="799EB05A" w14:textId="77777777" w:rsidR="002B3B69" w:rsidRDefault="002B3B69" w:rsidP="00A06C18">
      <w:pPr>
        <w:jc w:val="both"/>
        <w:rPr>
          <w:rFonts w:cstheme="minorHAnsi"/>
          <w:sz w:val="24"/>
          <w:szCs w:val="24"/>
        </w:rPr>
      </w:pPr>
    </w:p>
    <w:p w14:paraId="71CEAB1D" w14:textId="2D886D69" w:rsidR="00431168" w:rsidRDefault="00431168" w:rsidP="006C53EA">
      <w:pPr>
        <w:jc w:val="both"/>
        <w:rPr>
          <w:sz w:val="24"/>
          <w:szCs w:val="24"/>
        </w:rPr>
      </w:pPr>
    </w:p>
    <w:sectPr w:rsidR="00431168">
      <w:footerReference w:type="default" r:id="rId8"/>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CD103" w14:textId="77777777" w:rsidR="00EC2664" w:rsidRDefault="00EC2664" w:rsidP="00C64682">
      <w:pPr>
        <w:spacing w:after="0" w:line="240" w:lineRule="auto"/>
      </w:pPr>
      <w:r>
        <w:separator/>
      </w:r>
    </w:p>
  </w:endnote>
  <w:endnote w:type="continuationSeparator" w:id="0">
    <w:p w14:paraId="62B2A53C" w14:textId="77777777" w:rsidR="00EC2664" w:rsidRDefault="00EC2664" w:rsidP="00C64682">
      <w:pPr>
        <w:spacing w:after="0" w:line="240" w:lineRule="auto"/>
      </w:pPr>
      <w:r>
        <w:continuationSeparator/>
      </w:r>
    </w:p>
  </w:endnote>
  <w:endnote w:id="1">
    <w:p w14:paraId="47D9E230" w14:textId="77777777" w:rsidR="009D5E54" w:rsidRPr="000579A4" w:rsidRDefault="009D5E54" w:rsidP="009D5E54">
      <w:pPr>
        <w:pStyle w:val="EndnoteText"/>
        <w:rPr>
          <w:lang w:val="en-US"/>
        </w:rPr>
      </w:pPr>
      <w:r>
        <w:rPr>
          <w:rStyle w:val="EndnoteReference"/>
        </w:rPr>
        <w:endnoteRef/>
      </w:r>
      <w:r>
        <w:t xml:space="preserve"> </w:t>
      </w:r>
      <w:r>
        <w:rPr>
          <w:lang w:val="en-US"/>
        </w:rPr>
        <w:t xml:space="preserve">See Yin, R. (2018) </w:t>
      </w:r>
      <w:r>
        <w:rPr>
          <w:i/>
          <w:iCs/>
          <w:lang w:val="en-US"/>
        </w:rPr>
        <w:t xml:space="preserve">Case Study Research and Applications: Design &amp; methods. </w:t>
      </w:r>
      <w:r>
        <w:rPr>
          <w:lang w:val="en-US"/>
        </w:rPr>
        <w:t>Sixth Edition. Thousand Oaks CA: SAGE.</w:t>
      </w:r>
    </w:p>
  </w:endnote>
  <w:endnote w:id="2">
    <w:p w14:paraId="7B0AF03E" w14:textId="77777777" w:rsidR="00526704" w:rsidRPr="00BD57E5" w:rsidRDefault="00526704" w:rsidP="00526704">
      <w:pPr>
        <w:pStyle w:val="EndnoteText"/>
        <w:rPr>
          <w:lang w:val="en-US"/>
        </w:rPr>
      </w:pPr>
      <w:r>
        <w:rPr>
          <w:rStyle w:val="EndnoteReference"/>
        </w:rPr>
        <w:endnoteRef/>
      </w:r>
      <w:r>
        <w:t xml:space="preserve"> </w:t>
      </w:r>
      <w:r>
        <w:rPr>
          <w:lang w:val="en-US"/>
        </w:rPr>
        <w:t xml:space="preserve">See Fielding, N. (2009) </w:t>
      </w:r>
      <w:r>
        <w:rPr>
          <w:i/>
          <w:iCs/>
          <w:lang w:val="en-US"/>
        </w:rPr>
        <w:t xml:space="preserve">Interviewing II. </w:t>
      </w:r>
      <w:r>
        <w:rPr>
          <w:lang w:val="en-US"/>
        </w:rPr>
        <w:t>Thousand Oaks CA: SAGE.</w:t>
      </w:r>
    </w:p>
  </w:endnote>
  <w:endnote w:id="3">
    <w:p w14:paraId="138CA7CF" w14:textId="77777777" w:rsidR="005D5AED" w:rsidRDefault="005D5AED" w:rsidP="005D5AED">
      <w:pPr>
        <w:pStyle w:val="EndnoteText"/>
      </w:pPr>
      <w:r>
        <w:rPr>
          <w:rStyle w:val="EndnoteReference"/>
        </w:rPr>
        <w:endnoteRef/>
      </w:r>
      <w:r>
        <w:t xml:space="preserve"> In the US known as Special Weapons and Tactics (SWAT). </w:t>
      </w:r>
    </w:p>
  </w:endnote>
  <w:endnote w:id="4">
    <w:p w14:paraId="5A7614DE" w14:textId="77777777" w:rsidR="000A1066" w:rsidRPr="00E6387C" w:rsidRDefault="000A1066" w:rsidP="000A1066">
      <w:pPr>
        <w:pStyle w:val="EndnoteText"/>
        <w:rPr>
          <w:lang w:val="en-US"/>
        </w:rPr>
      </w:pPr>
      <w:r>
        <w:rPr>
          <w:rStyle w:val="EndnoteReference"/>
        </w:rPr>
        <w:endnoteRef/>
      </w:r>
      <w:r>
        <w:t xml:space="preserve"> </w:t>
      </w:r>
      <w:r>
        <w:rPr>
          <w:lang w:val="en-US"/>
        </w:rPr>
        <w:t xml:space="preserve">Sutalan, Z. (2019) </w:t>
      </w:r>
      <w:r w:rsidRPr="00887775">
        <w:rPr>
          <w:rFonts w:cstheme="minorHAnsi"/>
          <w:i/>
          <w:iCs/>
        </w:rPr>
        <w:t>Women in Terrorism and Counterterrorism</w:t>
      </w:r>
      <w:r>
        <w:rPr>
          <w:rFonts w:cstheme="minorHAnsi"/>
          <w:i/>
          <w:iCs/>
        </w:rPr>
        <w:t>.</w:t>
      </w:r>
      <w:r w:rsidRPr="00887775">
        <w:rPr>
          <w:rFonts w:cstheme="minorHAnsi"/>
          <w:i/>
          <w:iCs/>
        </w:rPr>
        <w:t xml:space="preserve"> </w:t>
      </w:r>
      <w:r w:rsidRPr="00887775">
        <w:rPr>
          <w:rFonts w:cstheme="minorHAnsi"/>
        </w:rPr>
        <w:t>Workshop Report</w:t>
      </w:r>
      <w:r>
        <w:rPr>
          <w:rFonts w:cstheme="minorHAnsi"/>
        </w:rPr>
        <w:t>. Ankara: NATO Centre of Excellence – Defence Against Terrorism (COE-DAT)</w:t>
      </w:r>
      <w:r>
        <w:rPr>
          <w:rFonts w:cstheme="minorHAnsi"/>
          <w:i/>
          <w:iCs/>
        </w:rPr>
        <w:t xml:space="preserve">. </w:t>
      </w:r>
      <w:r>
        <w:rPr>
          <w:rFonts w:cstheme="minorHAnsi"/>
        </w:rPr>
        <w:t xml:space="preserve">p. 52. </w:t>
      </w:r>
    </w:p>
  </w:endnote>
  <w:endnote w:id="5">
    <w:p w14:paraId="7F0B7D75" w14:textId="77777777" w:rsidR="000A1066" w:rsidRPr="00887775" w:rsidRDefault="000A1066" w:rsidP="000A1066">
      <w:pPr>
        <w:pStyle w:val="EndnoteText"/>
        <w:rPr>
          <w:lang w:val="en-US"/>
        </w:rPr>
      </w:pPr>
      <w:r>
        <w:rPr>
          <w:rStyle w:val="EndnoteReference"/>
        </w:rPr>
        <w:endnoteRef/>
      </w:r>
      <w:r>
        <w:t xml:space="preserve"> See </w:t>
      </w:r>
      <w:r w:rsidRPr="00887775">
        <w:rPr>
          <w:rFonts w:cstheme="minorHAnsi"/>
        </w:rPr>
        <w:t xml:space="preserve">Warnes, R. (2019) </w:t>
      </w:r>
      <w:r w:rsidRPr="00887775">
        <w:rPr>
          <w:rFonts w:cstheme="minorHAnsi"/>
          <w:i/>
          <w:iCs/>
        </w:rPr>
        <w:t xml:space="preserve">‘Women in Counterterrorism: An Overview’, </w:t>
      </w:r>
      <w:r w:rsidRPr="00887775">
        <w:rPr>
          <w:rFonts w:cstheme="minorHAnsi"/>
        </w:rPr>
        <w:t xml:space="preserve">in Sutalan, Z, ed. </w:t>
      </w:r>
      <w:r w:rsidRPr="00887775">
        <w:rPr>
          <w:rFonts w:cstheme="minorHAnsi"/>
          <w:i/>
          <w:iCs/>
        </w:rPr>
        <w:t>Women in Terrorism and Counterterrorism</w:t>
      </w:r>
      <w:r>
        <w:rPr>
          <w:rFonts w:cstheme="minorHAnsi"/>
          <w:i/>
          <w:iCs/>
        </w:rPr>
        <w:t>.</w:t>
      </w:r>
      <w:r w:rsidRPr="00887775">
        <w:rPr>
          <w:rFonts w:cstheme="minorHAnsi"/>
          <w:i/>
          <w:iCs/>
        </w:rPr>
        <w:t xml:space="preserve"> </w:t>
      </w:r>
      <w:r w:rsidRPr="00887775">
        <w:rPr>
          <w:rFonts w:cstheme="minorHAnsi"/>
        </w:rPr>
        <w:t>Workshop Report</w:t>
      </w:r>
      <w:r>
        <w:rPr>
          <w:rFonts w:cstheme="minorHAnsi"/>
        </w:rPr>
        <w:t>. Ankara: NATO Centre of Excellence – Defence Against Terrorism (COE-DAT).</w:t>
      </w:r>
      <w:r w:rsidRPr="00887775">
        <w:rPr>
          <w:rFonts w:cstheme="minorHAnsi"/>
          <w:i/>
          <w:iCs/>
        </w:rPr>
        <w:t xml:space="preserve"> </w:t>
      </w:r>
    </w:p>
  </w:endnote>
  <w:endnote w:id="6">
    <w:p w14:paraId="3DF2A426" w14:textId="77777777" w:rsidR="00EE7360" w:rsidRPr="002A0191" w:rsidRDefault="00EE7360" w:rsidP="00EE7360">
      <w:pPr>
        <w:pStyle w:val="EndnoteText"/>
        <w:rPr>
          <w:i/>
          <w:iCs/>
          <w:lang w:val="en-US"/>
        </w:rPr>
      </w:pPr>
      <w:r>
        <w:rPr>
          <w:rStyle w:val="EndnoteReference"/>
        </w:rPr>
        <w:endnoteRef/>
      </w:r>
      <w:r>
        <w:t xml:space="preserve"> </w:t>
      </w:r>
      <w:r>
        <w:rPr>
          <w:lang w:val="en-US"/>
        </w:rPr>
        <w:t xml:space="preserve">See Glaser &amp; Strauss (1967) </w:t>
      </w:r>
      <w:r>
        <w:rPr>
          <w:i/>
          <w:iCs/>
          <w:lang w:val="en-US"/>
        </w:rPr>
        <w:t>Op. Cit.</w:t>
      </w:r>
    </w:p>
  </w:endnote>
  <w:endnote w:id="7">
    <w:p w14:paraId="209018AD" w14:textId="77777777" w:rsidR="00EE7360" w:rsidRPr="00710210" w:rsidRDefault="00EE7360" w:rsidP="00EE7360">
      <w:pPr>
        <w:pStyle w:val="EndnoteText"/>
        <w:rPr>
          <w:lang w:val="en-US"/>
        </w:rPr>
      </w:pPr>
      <w:r>
        <w:rPr>
          <w:rStyle w:val="EndnoteReference"/>
        </w:rPr>
        <w:endnoteRef/>
      </w:r>
      <w:r>
        <w:t xml:space="preserve"> </w:t>
      </w:r>
      <w:r>
        <w:rPr>
          <w:lang w:val="en-US"/>
        </w:rPr>
        <w:t xml:space="preserve">See Strauss, A. &amp; Corbin, J. (2015) </w:t>
      </w:r>
      <w:r>
        <w:rPr>
          <w:i/>
          <w:iCs/>
          <w:lang w:val="en-US"/>
        </w:rPr>
        <w:t xml:space="preserve">Basics of Qualitative Research: Techniques and procedures for developing Grounded Theory. </w:t>
      </w:r>
      <w:r>
        <w:rPr>
          <w:lang w:val="en-US"/>
        </w:rPr>
        <w:t>Fourth Edition. Thousand Oaks CA: SAGE.</w:t>
      </w:r>
      <w:r>
        <w:rPr>
          <w:i/>
          <w:iCs/>
          <w:lang w:val="en-US"/>
        </w:rPr>
        <w:t xml:space="preserve"> </w:t>
      </w:r>
    </w:p>
  </w:endnote>
  <w:endnote w:id="8">
    <w:p w14:paraId="530F7AA4" w14:textId="77777777" w:rsidR="00EE7360" w:rsidRPr="00FA4054" w:rsidRDefault="00EE7360" w:rsidP="00EE7360">
      <w:pPr>
        <w:pStyle w:val="EndnoteText"/>
        <w:rPr>
          <w:lang w:val="en-US"/>
        </w:rPr>
      </w:pPr>
      <w:r>
        <w:rPr>
          <w:rStyle w:val="EndnoteReference"/>
        </w:rPr>
        <w:endnoteRef/>
      </w:r>
      <w:r>
        <w:t xml:space="preserve"> </w:t>
      </w:r>
      <w:r>
        <w:rPr>
          <w:lang w:val="en-US"/>
        </w:rPr>
        <w:t xml:space="preserve">See Bottoms, A. (2000) </w:t>
      </w:r>
      <w:r>
        <w:rPr>
          <w:i/>
          <w:iCs/>
          <w:lang w:val="en-US"/>
        </w:rPr>
        <w:t xml:space="preserve">‘The Relationship between Theory and Research in Criminology’ </w:t>
      </w:r>
      <w:r>
        <w:rPr>
          <w:lang w:val="en-US"/>
        </w:rPr>
        <w:t xml:space="preserve">in King, R. &amp; Wincup, E. (eds.) (2002) </w:t>
      </w:r>
      <w:r>
        <w:rPr>
          <w:i/>
          <w:iCs/>
          <w:lang w:val="en-US"/>
        </w:rPr>
        <w:t xml:space="preserve">Doing Research on Crime and Justice. </w:t>
      </w:r>
      <w:r>
        <w:rPr>
          <w:lang w:val="en-US"/>
        </w:rPr>
        <w:t xml:space="preserve">Oxford: Oxford University Press. </w:t>
      </w:r>
    </w:p>
  </w:endnote>
  <w:endnote w:id="9">
    <w:p w14:paraId="13E0BE99" w14:textId="77777777" w:rsidR="00EE7360" w:rsidRPr="00857B43" w:rsidRDefault="00EE7360" w:rsidP="00EE7360">
      <w:pPr>
        <w:suppressAutoHyphens/>
        <w:spacing w:after="0" w:line="240" w:lineRule="auto"/>
        <w:rPr>
          <w:rFonts w:cstheme="minorHAnsi"/>
          <w:sz w:val="20"/>
          <w:szCs w:val="20"/>
        </w:rPr>
      </w:pPr>
      <w:r w:rsidRPr="00857B43">
        <w:rPr>
          <w:rStyle w:val="EndnoteReference"/>
          <w:sz w:val="20"/>
          <w:szCs w:val="20"/>
        </w:rPr>
        <w:endnoteRef/>
      </w:r>
      <w:r w:rsidRPr="00857B43">
        <w:rPr>
          <w:sz w:val="20"/>
          <w:szCs w:val="20"/>
        </w:rPr>
        <w:t xml:space="preserve"> </w:t>
      </w:r>
      <w:r w:rsidRPr="00857B43">
        <w:rPr>
          <w:rFonts w:cstheme="minorHAnsi"/>
          <w:sz w:val="20"/>
          <w:szCs w:val="20"/>
        </w:rPr>
        <w:t xml:space="preserve">Warnes, R. (2009) </w:t>
      </w:r>
      <w:r w:rsidRPr="00857B43">
        <w:rPr>
          <w:rFonts w:cstheme="minorHAnsi"/>
          <w:i/>
          <w:iCs/>
          <w:sz w:val="20"/>
          <w:szCs w:val="20"/>
        </w:rPr>
        <w:t xml:space="preserve">‘Grounded Theory’ </w:t>
      </w:r>
      <w:r w:rsidRPr="00857B43">
        <w:rPr>
          <w:rFonts w:cstheme="minorHAnsi"/>
          <w:sz w:val="20"/>
          <w:szCs w:val="20"/>
        </w:rPr>
        <w:t>in Ling, T. &amp; Villalba van Dijk</w:t>
      </w:r>
      <w:r>
        <w:rPr>
          <w:rFonts w:cstheme="minorHAnsi"/>
          <w:sz w:val="20"/>
          <w:szCs w:val="20"/>
        </w:rPr>
        <w:t xml:space="preserve">, L. </w:t>
      </w:r>
      <w:r w:rsidRPr="00857B43">
        <w:rPr>
          <w:rFonts w:cstheme="minorHAnsi"/>
          <w:sz w:val="20"/>
          <w:szCs w:val="20"/>
        </w:rPr>
        <w:t xml:space="preserve">(eds.) </w:t>
      </w:r>
      <w:r w:rsidRPr="00857B43">
        <w:rPr>
          <w:rFonts w:cstheme="minorHAnsi"/>
          <w:i/>
          <w:iCs/>
          <w:sz w:val="20"/>
          <w:szCs w:val="20"/>
        </w:rPr>
        <w:t xml:space="preserve">Performance Audit Handbook: Routes to effective evaluation. </w:t>
      </w:r>
      <w:r w:rsidRPr="00857B43">
        <w:rPr>
          <w:rFonts w:cstheme="minorHAnsi"/>
          <w:sz w:val="20"/>
          <w:szCs w:val="20"/>
        </w:rPr>
        <w:t>Santa Monica: RAND Corporation.</w:t>
      </w:r>
      <w:r>
        <w:rPr>
          <w:rFonts w:cstheme="minorHAnsi"/>
          <w:sz w:val="20"/>
          <w:szCs w:val="20"/>
        </w:rPr>
        <w:t xml:space="preserve"> p.76.</w:t>
      </w:r>
      <w:r w:rsidRPr="00857B43">
        <w:rPr>
          <w:rFonts w:cstheme="minorHAnsi"/>
          <w:sz w:val="20"/>
          <w:szCs w:val="20"/>
        </w:rPr>
        <w:t xml:space="preserve"> </w:t>
      </w:r>
      <w:r>
        <w:rPr>
          <w:rFonts w:cstheme="minorHAnsi"/>
          <w:sz w:val="20"/>
          <w:szCs w:val="20"/>
        </w:rPr>
        <w:t xml:space="preserve">Available at </w:t>
      </w:r>
      <w:hyperlink r:id="rId1" w:history="1">
        <w:r w:rsidRPr="007A4820">
          <w:rPr>
            <w:rStyle w:val="Hyperlink"/>
            <w:rFonts w:cstheme="minorHAnsi"/>
            <w:sz w:val="20"/>
            <w:szCs w:val="20"/>
          </w:rPr>
          <w:t>https://www.rand.org/content/dam/rand/pubs/technical_reports/2010/RAND_TR788.pdf</w:t>
        </w:r>
      </w:hyperlink>
      <w:r>
        <w:rPr>
          <w:rFonts w:cstheme="minorHAnsi"/>
          <w:sz w:val="20"/>
          <w:szCs w:val="20"/>
        </w:rPr>
        <w:t xml:space="preserve"> </w:t>
      </w:r>
    </w:p>
  </w:endnote>
  <w:endnote w:id="10">
    <w:p w14:paraId="5124F4A4" w14:textId="77777777" w:rsidR="00AD5ED6" w:rsidRPr="00B90044" w:rsidRDefault="00AD5ED6" w:rsidP="00AD5ED6">
      <w:pPr>
        <w:pStyle w:val="EndnoteText"/>
        <w:rPr>
          <w:lang w:val="en-US"/>
        </w:rPr>
      </w:pPr>
      <w:r>
        <w:rPr>
          <w:rStyle w:val="EndnoteReference"/>
        </w:rPr>
        <w:endnoteRef/>
      </w:r>
      <w:r>
        <w:t xml:space="preserve"> </w:t>
      </w:r>
      <w:r>
        <w:rPr>
          <w:lang w:val="en-US"/>
        </w:rPr>
        <w:t xml:space="preserve">See Baud, J. (2003) </w:t>
      </w:r>
      <w:r w:rsidRPr="00073650">
        <w:rPr>
          <w:i/>
          <w:iCs/>
          <w:lang w:val="en-US"/>
        </w:rPr>
        <w:t>Encyclopedie des Terrorismes et Violences Politiques</w:t>
      </w:r>
      <w:r>
        <w:rPr>
          <w:i/>
          <w:iCs/>
          <w:lang w:val="en-US"/>
        </w:rPr>
        <w:t xml:space="preserve">. </w:t>
      </w:r>
      <w:r>
        <w:rPr>
          <w:lang w:val="en-US"/>
        </w:rPr>
        <w:t xml:space="preserve">Paris: Lavauzelle. </w:t>
      </w:r>
    </w:p>
  </w:endnote>
  <w:endnote w:id="11">
    <w:p w14:paraId="11CA2AE5" w14:textId="77777777" w:rsidR="00AD5ED6" w:rsidRPr="00C24256" w:rsidRDefault="00AD5ED6" w:rsidP="00AD5ED6">
      <w:pPr>
        <w:pStyle w:val="EndnoteText"/>
        <w:rPr>
          <w:lang w:val="en-US"/>
        </w:rPr>
      </w:pPr>
      <w:r>
        <w:rPr>
          <w:rStyle w:val="EndnoteReference"/>
        </w:rPr>
        <w:endnoteRef/>
      </w:r>
      <w:r>
        <w:t xml:space="preserve"> </w:t>
      </w:r>
      <w:r>
        <w:rPr>
          <w:lang w:val="en-US"/>
        </w:rPr>
        <w:t xml:space="preserve">See Exum, A. (2005) </w:t>
      </w:r>
      <w:r>
        <w:rPr>
          <w:i/>
          <w:iCs/>
          <w:lang w:val="en-US"/>
        </w:rPr>
        <w:t xml:space="preserve">This Man’s Army: A soldier’s story from the front lines of the war on terrorism. </w:t>
      </w:r>
      <w:r>
        <w:rPr>
          <w:lang w:val="en-US"/>
        </w:rPr>
        <w:t xml:space="preserve">New York: Gotham Books.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3607317"/>
      <w:docPartObj>
        <w:docPartGallery w:val="Page Numbers (Bottom of Page)"/>
        <w:docPartUnique/>
      </w:docPartObj>
    </w:sdtPr>
    <w:sdtEndPr>
      <w:rPr>
        <w:noProof/>
      </w:rPr>
    </w:sdtEndPr>
    <w:sdtContent>
      <w:p w14:paraId="02E0875C" w14:textId="3F9111F4" w:rsidR="00950F40" w:rsidRDefault="00950F4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1146399" w14:textId="77777777" w:rsidR="00C64682" w:rsidRDefault="00C646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FA0B06" w14:textId="77777777" w:rsidR="00EC2664" w:rsidRDefault="00EC2664" w:rsidP="00C64682">
      <w:pPr>
        <w:spacing w:after="0" w:line="240" w:lineRule="auto"/>
      </w:pPr>
      <w:r>
        <w:separator/>
      </w:r>
    </w:p>
  </w:footnote>
  <w:footnote w:type="continuationSeparator" w:id="0">
    <w:p w14:paraId="353CDAB3" w14:textId="77777777" w:rsidR="00EC2664" w:rsidRDefault="00EC2664" w:rsidP="00C646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82BC4"/>
    <w:multiLevelType w:val="hybridMultilevel"/>
    <w:tmpl w:val="50588E8E"/>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C34559"/>
    <w:multiLevelType w:val="hybridMultilevel"/>
    <w:tmpl w:val="073ABBD2"/>
    <w:lvl w:ilvl="0" w:tplc="08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6F056B0"/>
    <w:multiLevelType w:val="hybridMultilevel"/>
    <w:tmpl w:val="120222EE"/>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FA4681"/>
    <w:multiLevelType w:val="hybridMultilevel"/>
    <w:tmpl w:val="AFE6823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425499"/>
    <w:multiLevelType w:val="hybridMultilevel"/>
    <w:tmpl w:val="F1B2C01A"/>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2F19D3"/>
    <w:multiLevelType w:val="hybridMultilevel"/>
    <w:tmpl w:val="DB1A1D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B40CA8"/>
    <w:multiLevelType w:val="hybridMultilevel"/>
    <w:tmpl w:val="4CF81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06A47E0"/>
    <w:multiLevelType w:val="hybridMultilevel"/>
    <w:tmpl w:val="51602D2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760109"/>
    <w:multiLevelType w:val="hybridMultilevel"/>
    <w:tmpl w:val="5B2883E8"/>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4F0081"/>
    <w:multiLevelType w:val="hybridMultilevel"/>
    <w:tmpl w:val="FAC4D6DC"/>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67A6147"/>
    <w:multiLevelType w:val="hybridMultilevel"/>
    <w:tmpl w:val="56D456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A913C61"/>
    <w:multiLevelType w:val="hybridMultilevel"/>
    <w:tmpl w:val="FAC27A00"/>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B53461F"/>
    <w:multiLevelType w:val="hybridMultilevel"/>
    <w:tmpl w:val="3ABCA5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C05041F"/>
    <w:multiLevelType w:val="hybridMultilevel"/>
    <w:tmpl w:val="F9E69900"/>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2C5B73"/>
    <w:multiLevelType w:val="hybridMultilevel"/>
    <w:tmpl w:val="2C80A3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921BB2"/>
    <w:multiLevelType w:val="hybridMultilevel"/>
    <w:tmpl w:val="960A7442"/>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DFF43E7"/>
    <w:multiLevelType w:val="hybridMultilevel"/>
    <w:tmpl w:val="A39ABC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8B66690"/>
    <w:multiLevelType w:val="hybridMultilevel"/>
    <w:tmpl w:val="84F677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BB00E82"/>
    <w:multiLevelType w:val="hybridMultilevel"/>
    <w:tmpl w:val="6D888A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3137C58"/>
    <w:multiLevelType w:val="hybridMultilevel"/>
    <w:tmpl w:val="93FCB1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7276C02"/>
    <w:multiLevelType w:val="hybridMultilevel"/>
    <w:tmpl w:val="FB5ED7E0"/>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CBD40B6"/>
    <w:multiLevelType w:val="hybridMultilevel"/>
    <w:tmpl w:val="9420372A"/>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7E71113"/>
    <w:multiLevelType w:val="hybridMultilevel"/>
    <w:tmpl w:val="CF86FF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9E27C95"/>
    <w:multiLevelType w:val="hybridMultilevel"/>
    <w:tmpl w:val="7DFEFA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A1062B5"/>
    <w:multiLevelType w:val="hybridMultilevel"/>
    <w:tmpl w:val="BB08CCBE"/>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B191B31"/>
    <w:multiLevelType w:val="hybridMultilevel"/>
    <w:tmpl w:val="3A286B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E732D37"/>
    <w:multiLevelType w:val="hybridMultilevel"/>
    <w:tmpl w:val="1CC653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5790EEB"/>
    <w:multiLevelType w:val="hybridMultilevel"/>
    <w:tmpl w:val="575A7BE0"/>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8BD6CD6"/>
    <w:multiLevelType w:val="hybridMultilevel"/>
    <w:tmpl w:val="386A88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97C0665"/>
    <w:multiLevelType w:val="hybridMultilevel"/>
    <w:tmpl w:val="C55015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A4A7327"/>
    <w:multiLevelType w:val="hybridMultilevel"/>
    <w:tmpl w:val="9EF232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B172563"/>
    <w:multiLevelType w:val="hybridMultilevel"/>
    <w:tmpl w:val="66D2FA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BCE07E2"/>
    <w:multiLevelType w:val="hybridMultilevel"/>
    <w:tmpl w:val="6F8A6A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07470D1"/>
    <w:multiLevelType w:val="hybridMultilevel"/>
    <w:tmpl w:val="BC8A93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2DB7D6F"/>
    <w:multiLevelType w:val="hybridMultilevel"/>
    <w:tmpl w:val="DA581462"/>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32D5795"/>
    <w:multiLevelType w:val="hybridMultilevel"/>
    <w:tmpl w:val="ECC019D2"/>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7D9023A"/>
    <w:multiLevelType w:val="hybridMultilevel"/>
    <w:tmpl w:val="A9A007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95337A6"/>
    <w:multiLevelType w:val="hybridMultilevel"/>
    <w:tmpl w:val="9C888B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FAB2389"/>
    <w:multiLevelType w:val="hybridMultilevel"/>
    <w:tmpl w:val="74349100"/>
    <w:lvl w:ilvl="0" w:tplc="0809000F">
      <w:start w:val="1"/>
      <w:numFmt w:val="decimal"/>
      <w:lvlText w:val="%1."/>
      <w:lvlJc w:val="left"/>
      <w:pPr>
        <w:ind w:left="720" w:hanging="360"/>
      </w:pPr>
      <w:rPr>
        <w:rFonts w:hint="default"/>
        <w:b w:val="0"/>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97177684">
    <w:abstractNumId w:val="30"/>
  </w:num>
  <w:num w:numId="2" w16cid:durableId="758647024">
    <w:abstractNumId w:val="1"/>
  </w:num>
  <w:num w:numId="3" w16cid:durableId="1435787872">
    <w:abstractNumId w:val="19"/>
  </w:num>
  <w:num w:numId="4" w16cid:durableId="191189383">
    <w:abstractNumId w:val="22"/>
  </w:num>
  <w:num w:numId="5" w16cid:durableId="165562132">
    <w:abstractNumId w:val="26"/>
  </w:num>
  <w:num w:numId="6" w16cid:durableId="1030913234">
    <w:abstractNumId w:val="33"/>
  </w:num>
  <w:num w:numId="7" w16cid:durableId="1574121196">
    <w:abstractNumId w:val="16"/>
  </w:num>
  <w:num w:numId="8" w16cid:durableId="2091416182">
    <w:abstractNumId w:val="37"/>
  </w:num>
  <w:num w:numId="9" w16cid:durableId="945844276">
    <w:abstractNumId w:val="17"/>
  </w:num>
  <w:num w:numId="10" w16cid:durableId="700934129">
    <w:abstractNumId w:val="3"/>
  </w:num>
  <w:num w:numId="11" w16cid:durableId="1287158614">
    <w:abstractNumId w:val="35"/>
  </w:num>
  <w:num w:numId="12" w16cid:durableId="895241605">
    <w:abstractNumId w:val="23"/>
  </w:num>
  <w:num w:numId="13" w16cid:durableId="78909481">
    <w:abstractNumId w:val="8"/>
  </w:num>
  <w:num w:numId="14" w16cid:durableId="630211577">
    <w:abstractNumId w:val="5"/>
  </w:num>
  <w:num w:numId="15" w16cid:durableId="2052226347">
    <w:abstractNumId w:val="28"/>
  </w:num>
  <w:num w:numId="16" w16cid:durableId="322006609">
    <w:abstractNumId w:val="4"/>
  </w:num>
  <w:num w:numId="17" w16cid:durableId="1982612435">
    <w:abstractNumId w:val="6"/>
  </w:num>
  <w:num w:numId="18" w16cid:durableId="157380456">
    <w:abstractNumId w:val="0"/>
  </w:num>
  <w:num w:numId="19" w16cid:durableId="430325284">
    <w:abstractNumId w:val="31"/>
  </w:num>
  <w:num w:numId="20" w16cid:durableId="605620742">
    <w:abstractNumId w:val="7"/>
  </w:num>
  <w:num w:numId="21" w16cid:durableId="806825989">
    <w:abstractNumId w:val="11"/>
  </w:num>
  <w:num w:numId="22" w16cid:durableId="853809364">
    <w:abstractNumId w:val="10"/>
  </w:num>
  <w:num w:numId="23" w16cid:durableId="57481365">
    <w:abstractNumId w:val="21"/>
  </w:num>
  <w:num w:numId="24" w16cid:durableId="1225217350">
    <w:abstractNumId w:val="32"/>
  </w:num>
  <w:num w:numId="25" w16cid:durableId="1489440046">
    <w:abstractNumId w:val="15"/>
  </w:num>
  <w:num w:numId="26" w16cid:durableId="834027177">
    <w:abstractNumId w:val="27"/>
  </w:num>
  <w:num w:numId="27" w16cid:durableId="1280452467">
    <w:abstractNumId w:val="12"/>
  </w:num>
  <w:num w:numId="28" w16cid:durableId="1731339368">
    <w:abstractNumId w:val="34"/>
  </w:num>
  <w:num w:numId="29" w16cid:durableId="2003268128">
    <w:abstractNumId w:val="13"/>
  </w:num>
  <w:num w:numId="30" w16cid:durableId="237643069">
    <w:abstractNumId w:val="36"/>
  </w:num>
  <w:num w:numId="31" w16cid:durableId="1232422491">
    <w:abstractNumId w:val="24"/>
  </w:num>
  <w:num w:numId="32" w16cid:durableId="1634869462">
    <w:abstractNumId w:val="29"/>
  </w:num>
  <w:num w:numId="33" w16cid:durableId="1700087845">
    <w:abstractNumId w:val="20"/>
  </w:num>
  <w:num w:numId="34" w16cid:durableId="1936403479">
    <w:abstractNumId w:val="18"/>
  </w:num>
  <w:num w:numId="35" w16cid:durableId="1613393413">
    <w:abstractNumId w:val="9"/>
  </w:num>
  <w:num w:numId="36" w16cid:durableId="1960913852">
    <w:abstractNumId w:val="2"/>
  </w:num>
  <w:num w:numId="37" w16cid:durableId="428350105">
    <w:abstractNumId w:val="25"/>
  </w:num>
  <w:num w:numId="38" w16cid:durableId="134874957">
    <w:abstractNumId w:val="38"/>
  </w:num>
  <w:num w:numId="39" w16cid:durableId="13259798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2F1"/>
    <w:rsid w:val="000119F1"/>
    <w:rsid w:val="00014C28"/>
    <w:rsid w:val="00017A77"/>
    <w:rsid w:val="00023712"/>
    <w:rsid w:val="000240D7"/>
    <w:rsid w:val="00024ACC"/>
    <w:rsid w:val="00031D8A"/>
    <w:rsid w:val="00032B8D"/>
    <w:rsid w:val="00040A6D"/>
    <w:rsid w:val="00040A95"/>
    <w:rsid w:val="000471CD"/>
    <w:rsid w:val="0005261F"/>
    <w:rsid w:val="000546C8"/>
    <w:rsid w:val="0005588C"/>
    <w:rsid w:val="000731D4"/>
    <w:rsid w:val="00074576"/>
    <w:rsid w:val="00075E93"/>
    <w:rsid w:val="0007616F"/>
    <w:rsid w:val="0008123A"/>
    <w:rsid w:val="000818C9"/>
    <w:rsid w:val="00090DF5"/>
    <w:rsid w:val="000A1066"/>
    <w:rsid w:val="000A3676"/>
    <w:rsid w:val="000B4C03"/>
    <w:rsid w:val="000B5C33"/>
    <w:rsid w:val="000B5F6C"/>
    <w:rsid w:val="000B790D"/>
    <w:rsid w:val="000C527F"/>
    <w:rsid w:val="000C5CE1"/>
    <w:rsid w:val="000D3053"/>
    <w:rsid w:val="000D448D"/>
    <w:rsid w:val="000D4949"/>
    <w:rsid w:val="000E25AA"/>
    <w:rsid w:val="000E2E11"/>
    <w:rsid w:val="000E6643"/>
    <w:rsid w:val="000F07D8"/>
    <w:rsid w:val="00103712"/>
    <w:rsid w:val="00107705"/>
    <w:rsid w:val="00107984"/>
    <w:rsid w:val="001168D4"/>
    <w:rsid w:val="001206AF"/>
    <w:rsid w:val="00124724"/>
    <w:rsid w:val="00124AB0"/>
    <w:rsid w:val="0013212E"/>
    <w:rsid w:val="001325F7"/>
    <w:rsid w:val="00137A30"/>
    <w:rsid w:val="00153624"/>
    <w:rsid w:val="00156770"/>
    <w:rsid w:val="00160324"/>
    <w:rsid w:val="001648C9"/>
    <w:rsid w:val="00166F6C"/>
    <w:rsid w:val="00174F31"/>
    <w:rsid w:val="001771D3"/>
    <w:rsid w:val="00180074"/>
    <w:rsid w:val="00182496"/>
    <w:rsid w:val="0019102F"/>
    <w:rsid w:val="00191080"/>
    <w:rsid w:val="0019162B"/>
    <w:rsid w:val="00195F28"/>
    <w:rsid w:val="001A0137"/>
    <w:rsid w:val="001A0A71"/>
    <w:rsid w:val="001A0E75"/>
    <w:rsid w:val="001A1DC2"/>
    <w:rsid w:val="001A2B61"/>
    <w:rsid w:val="001A3C1D"/>
    <w:rsid w:val="001B0E5D"/>
    <w:rsid w:val="001B60D3"/>
    <w:rsid w:val="001C1ADE"/>
    <w:rsid w:val="001D19DE"/>
    <w:rsid w:val="001E26EC"/>
    <w:rsid w:val="001E3A55"/>
    <w:rsid w:val="001F747D"/>
    <w:rsid w:val="002022B5"/>
    <w:rsid w:val="0020543E"/>
    <w:rsid w:val="002108E8"/>
    <w:rsid w:val="00214C13"/>
    <w:rsid w:val="002201C2"/>
    <w:rsid w:val="00224BDC"/>
    <w:rsid w:val="002268E9"/>
    <w:rsid w:val="0023250D"/>
    <w:rsid w:val="00245601"/>
    <w:rsid w:val="002520CD"/>
    <w:rsid w:val="00253DD5"/>
    <w:rsid w:val="00254B3C"/>
    <w:rsid w:val="00256293"/>
    <w:rsid w:val="00266B9A"/>
    <w:rsid w:val="00272658"/>
    <w:rsid w:val="00273649"/>
    <w:rsid w:val="00276774"/>
    <w:rsid w:val="0028301E"/>
    <w:rsid w:val="00285ADA"/>
    <w:rsid w:val="00291B4E"/>
    <w:rsid w:val="00291E6F"/>
    <w:rsid w:val="00294149"/>
    <w:rsid w:val="002A0008"/>
    <w:rsid w:val="002A0D28"/>
    <w:rsid w:val="002A4E16"/>
    <w:rsid w:val="002B25A0"/>
    <w:rsid w:val="002B3B69"/>
    <w:rsid w:val="002B5C07"/>
    <w:rsid w:val="002C1E65"/>
    <w:rsid w:val="002C6C72"/>
    <w:rsid w:val="002D0066"/>
    <w:rsid w:val="002D0FDB"/>
    <w:rsid w:val="002D15A9"/>
    <w:rsid w:val="002D1E93"/>
    <w:rsid w:val="002D33B4"/>
    <w:rsid w:val="002E2357"/>
    <w:rsid w:val="002E4912"/>
    <w:rsid w:val="002E54F7"/>
    <w:rsid w:val="002E7C9A"/>
    <w:rsid w:val="002F3B05"/>
    <w:rsid w:val="002F632D"/>
    <w:rsid w:val="00307470"/>
    <w:rsid w:val="00313B7B"/>
    <w:rsid w:val="00315014"/>
    <w:rsid w:val="00316877"/>
    <w:rsid w:val="00326670"/>
    <w:rsid w:val="00327D4C"/>
    <w:rsid w:val="00341EC8"/>
    <w:rsid w:val="003431C1"/>
    <w:rsid w:val="0034322E"/>
    <w:rsid w:val="0034363D"/>
    <w:rsid w:val="0034453A"/>
    <w:rsid w:val="00366BB0"/>
    <w:rsid w:val="003677BB"/>
    <w:rsid w:val="003712F5"/>
    <w:rsid w:val="00374259"/>
    <w:rsid w:val="00376053"/>
    <w:rsid w:val="00385B42"/>
    <w:rsid w:val="003A5717"/>
    <w:rsid w:val="003B00DF"/>
    <w:rsid w:val="003B03DD"/>
    <w:rsid w:val="003C0B67"/>
    <w:rsid w:val="003C278A"/>
    <w:rsid w:val="003C50D2"/>
    <w:rsid w:val="003C6D03"/>
    <w:rsid w:val="003D2798"/>
    <w:rsid w:val="003D3F72"/>
    <w:rsid w:val="003D711D"/>
    <w:rsid w:val="003E11A0"/>
    <w:rsid w:val="003E3380"/>
    <w:rsid w:val="003E43F3"/>
    <w:rsid w:val="003E46BB"/>
    <w:rsid w:val="003E5777"/>
    <w:rsid w:val="003E66F3"/>
    <w:rsid w:val="00400881"/>
    <w:rsid w:val="004058A0"/>
    <w:rsid w:val="00405F1B"/>
    <w:rsid w:val="00423713"/>
    <w:rsid w:val="00423B64"/>
    <w:rsid w:val="00431168"/>
    <w:rsid w:val="00432D96"/>
    <w:rsid w:val="004371FD"/>
    <w:rsid w:val="00440F07"/>
    <w:rsid w:val="004410CD"/>
    <w:rsid w:val="004468FC"/>
    <w:rsid w:val="0045081A"/>
    <w:rsid w:val="00452F34"/>
    <w:rsid w:val="00462826"/>
    <w:rsid w:val="00477266"/>
    <w:rsid w:val="004901FA"/>
    <w:rsid w:val="0049367C"/>
    <w:rsid w:val="004A5DC9"/>
    <w:rsid w:val="004C0441"/>
    <w:rsid w:val="004E30DF"/>
    <w:rsid w:val="004F1AB5"/>
    <w:rsid w:val="004F2301"/>
    <w:rsid w:val="004F2B36"/>
    <w:rsid w:val="00512766"/>
    <w:rsid w:val="00512A6D"/>
    <w:rsid w:val="00512CFF"/>
    <w:rsid w:val="00515F70"/>
    <w:rsid w:val="00517DE1"/>
    <w:rsid w:val="00526704"/>
    <w:rsid w:val="005377EB"/>
    <w:rsid w:val="00546DD2"/>
    <w:rsid w:val="00561F5E"/>
    <w:rsid w:val="00562FF5"/>
    <w:rsid w:val="0056301A"/>
    <w:rsid w:val="0056466E"/>
    <w:rsid w:val="00572430"/>
    <w:rsid w:val="00573EDE"/>
    <w:rsid w:val="005814D7"/>
    <w:rsid w:val="00582D36"/>
    <w:rsid w:val="00585299"/>
    <w:rsid w:val="00593BA1"/>
    <w:rsid w:val="00594A23"/>
    <w:rsid w:val="005952F1"/>
    <w:rsid w:val="005A16CD"/>
    <w:rsid w:val="005A1C52"/>
    <w:rsid w:val="005C34B0"/>
    <w:rsid w:val="005C34D6"/>
    <w:rsid w:val="005D5AED"/>
    <w:rsid w:val="005E5351"/>
    <w:rsid w:val="005E642C"/>
    <w:rsid w:val="005F0D55"/>
    <w:rsid w:val="005F60AC"/>
    <w:rsid w:val="005F7D74"/>
    <w:rsid w:val="006035C5"/>
    <w:rsid w:val="00603EF7"/>
    <w:rsid w:val="00611C7D"/>
    <w:rsid w:val="00624CFE"/>
    <w:rsid w:val="00653521"/>
    <w:rsid w:val="00665292"/>
    <w:rsid w:val="00672531"/>
    <w:rsid w:val="00675262"/>
    <w:rsid w:val="00676A78"/>
    <w:rsid w:val="00683154"/>
    <w:rsid w:val="00684DC5"/>
    <w:rsid w:val="006912CD"/>
    <w:rsid w:val="00692D67"/>
    <w:rsid w:val="00695CE2"/>
    <w:rsid w:val="006976CA"/>
    <w:rsid w:val="006A1F43"/>
    <w:rsid w:val="006A39F0"/>
    <w:rsid w:val="006A4D98"/>
    <w:rsid w:val="006B69AD"/>
    <w:rsid w:val="006C2BD4"/>
    <w:rsid w:val="006C34BB"/>
    <w:rsid w:val="006C3E7B"/>
    <w:rsid w:val="006C53EA"/>
    <w:rsid w:val="006C683B"/>
    <w:rsid w:val="006D12C2"/>
    <w:rsid w:val="006D481B"/>
    <w:rsid w:val="006E6E23"/>
    <w:rsid w:val="006F7F5C"/>
    <w:rsid w:val="00700900"/>
    <w:rsid w:val="00703E3C"/>
    <w:rsid w:val="00704F03"/>
    <w:rsid w:val="0070799B"/>
    <w:rsid w:val="00712B79"/>
    <w:rsid w:val="00726AC0"/>
    <w:rsid w:val="0072750A"/>
    <w:rsid w:val="00730440"/>
    <w:rsid w:val="00732338"/>
    <w:rsid w:val="00744DAA"/>
    <w:rsid w:val="0075223A"/>
    <w:rsid w:val="00755796"/>
    <w:rsid w:val="007623F5"/>
    <w:rsid w:val="00763A46"/>
    <w:rsid w:val="00771CD3"/>
    <w:rsid w:val="00773B34"/>
    <w:rsid w:val="00776787"/>
    <w:rsid w:val="00787897"/>
    <w:rsid w:val="007935BF"/>
    <w:rsid w:val="0079411D"/>
    <w:rsid w:val="007A3820"/>
    <w:rsid w:val="007B0EEF"/>
    <w:rsid w:val="007C28C0"/>
    <w:rsid w:val="007C2D30"/>
    <w:rsid w:val="007C4B18"/>
    <w:rsid w:val="007C6874"/>
    <w:rsid w:val="007C7A26"/>
    <w:rsid w:val="007E0E0A"/>
    <w:rsid w:val="00800BED"/>
    <w:rsid w:val="00816B1D"/>
    <w:rsid w:val="00817C1B"/>
    <w:rsid w:val="00821C7C"/>
    <w:rsid w:val="00823E8D"/>
    <w:rsid w:val="00830DCE"/>
    <w:rsid w:val="00835CE5"/>
    <w:rsid w:val="0084686A"/>
    <w:rsid w:val="00854771"/>
    <w:rsid w:val="00855FAF"/>
    <w:rsid w:val="00861E40"/>
    <w:rsid w:val="0087303B"/>
    <w:rsid w:val="00876A70"/>
    <w:rsid w:val="00877213"/>
    <w:rsid w:val="00891825"/>
    <w:rsid w:val="008968A8"/>
    <w:rsid w:val="008A47A8"/>
    <w:rsid w:val="008B500F"/>
    <w:rsid w:val="008C7312"/>
    <w:rsid w:val="008D1FA1"/>
    <w:rsid w:val="008D3EBB"/>
    <w:rsid w:val="008D5DD8"/>
    <w:rsid w:val="008E2EE5"/>
    <w:rsid w:val="008E4DE0"/>
    <w:rsid w:val="008E7A85"/>
    <w:rsid w:val="008F37CB"/>
    <w:rsid w:val="009077AD"/>
    <w:rsid w:val="00910EE2"/>
    <w:rsid w:val="00920061"/>
    <w:rsid w:val="00922B6C"/>
    <w:rsid w:val="0092606E"/>
    <w:rsid w:val="009264C0"/>
    <w:rsid w:val="00927684"/>
    <w:rsid w:val="00935248"/>
    <w:rsid w:val="0094351F"/>
    <w:rsid w:val="00944BB1"/>
    <w:rsid w:val="00950DAC"/>
    <w:rsid w:val="00950F40"/>
    <w:rsid w:val="00956B99"/>
    <w:rsid w:val="00960230"/>
    <w:rsid w:val="009639EA"/>
    <w:rsid w:val="0096614E"/>
    <w:rsid w:val="00982474"/>
    <w:rsid w:val="00985829"/>
    <w:rsid w:val="00994CB6"/>
    <w:rsid w:val="009A00F8"/>
    <w:rsid w:val="009A07BF"/>
    <w:rsid w:val="009A752C"/>
    <w:rsid w:val="009B11DA"/>
    <w:rsid w:val="009B1BC6"/>
    <w:rsid w:val="009B5DE9"/>
    <w:rsid w:val="009C3294"/>
    <w:rsid w:val="009D134A"/>
    <w:rsid w:val="009D24AD"/>
    <w:rsid w:val="009D3E06"/>
    <w:rsid w:val="009D5E54"/>
    <w:rsid w:val="009E6C0A"/>
    <w:rsid w:val="00A00381"/>
    <w:rsid w:val="00A0265A"/>
    <w:rsid w:val="00A06C18"/>
    <w:rsid w:val="00A30819"/>
    <w:rsid w:val="00A327FF"/>
    <w:rsid w:val="00A32E55"/>
    <w:rsid w:val="00A33417"/>
    <w:rsid w:val="00A362B4"/>
    <w:rsid w:val="00A37154"/>
    <w:rsid w:val="00A44EC5"/>
    <w:rsid w:val="00A50856"/>
    <w:rsid w:val="00A55773"/>
    <w:rsid w:val="00A707BB"/>
    <w:rsid w:val="00A73288"/>
    <w:rsid w:val="00A84257"/>
    <w:rsid w:val="00AA550F"/>
    <w:rsid w:val="00AB49BC"/>
    <w:rsid w:val="00AB6607"/>
    <w:rsid w:val="00AB7946"/>
    <w:rsid w:val="00AB7F0F"/>
    <w:rsid w:val="00AC5E1B"/>
    <w:rsid w:val="00AD48B0"/>
    <w:rsid w:val="00AD55D7"/>
    <w:rsid w:val="00AD5ED6"/>
    <w:rsid w:val="00AE3DCE"/>
    <w:rsid w:val="00AF0744"/>
    <w:rsid w:val="00AF7D62"/>
    <w:rsid w:val="00B05B1A"/>
    <w:rsid w:val="00B2145F"/>
    <w:rsid w:val="00B23614"/>
    <w:rsid w:val="00B26859"/>
    <w:rsid w:val="00B443FC"/>
    <w:rsid w:val="00B45ACD"/>
    <w:rsid w:val="00B4657A"/>
    <w:rsid w:val="00B46589"/>
    <w:rsid w:val="00B5726A"/>
    <w:rsid w:val="00B65EA5"/>
    <w:rsid w:val="00B673AA"/>
    <w:rsid w:val="00B73E84"/>
    <w:rsid w:val="00B76687"/>
    <w:rsid w:val="00B76931"/>
    <w:rsid w:val="00B76E1D"/>
    <w:rsid w:val="00B81AE9"/>
    <w:rsid w:val="00B86375"/>
    <w:rsid w:val="00B86B6D"/>
    <w:rsid w:val="00B90525"/>
    <w:rsid w:val="00B96237"/>
    <w:rsid w:val="00BA20A8"/>
    <w:rsid w:val="00BA7176"/>
    <w:rsid w:val="00BB776B"/>
    <w:rsid w:val="00BC3E3E"/>
    <w:rsid w:val="00BE74C4"/>
    <w:rsid w:val="00BF204B"/>
    <w:rsid w:val="00BF2120"/>
    <w:rsid w:val="00C01133"/>
    <w:rsid w:val="00C140C9"/>
    <w:rsid w:val="00C21841"/>
    <w:rsid w:val="00C31458"/>
    <w:rsid w:val="00C337E1"/>
    <w:rsid w:val="00C33B1D"/>
    <w:rsid w:val="00C355D2"/>
    <w:rsid w:val="00C40109"/>
    <w:rsid w:val="00C41856"/>
    <w:rsid w:val="00C41C36"/>
    <w:rsid w:val="00C51169"/>
    <w:rsid w:val="00C56F70"/>
    <w:rsid w:val="00C6018D"/>
    <w:rsid w:val="00C64682"/>
    <w:rsid w:val="00C6540C"/>
    <w:rsid w:val="00C72576"/>
    <w:rsid w:val="00CA1DC6"/>
    <w:rsid w:val="00CA6FD2"/>
    <w:rsid w:val="00CB7380"/>
    <w:rsid w:val="00CD1C20"/>
    <w:rsid w:val="00CD4DF8"/>
    <w:rsid w:val="00CD771B"/>
    <w:rsid w:val="00CE12B8"/>
    <w:rsid w:val="00CE330D"/>
    <w:rsid w:val="00CE5FD1"/>
    <w:rsid w:val="00D02147"/>
    <w:rsid w:val="00D11E11"/>
    <w:rsid w:val="00D15317"/>
    <w:rsid w:val="00D16095"/>
    <w:rsid w:val="00D16854"/>
    <w:rsid w:val="00D3473A"/>
    <w:rsid w:val="00D57347"/>
    <w:rsid w:val="00D618DE"/>
    <w:rsid w:val="00D620CE"/>
    <w:rsid w:val="00D7116B"/>
    <w:rsid w:val="00D72923"/>
    <w:rsid w:val="00D7686D"/>
    <w:rsid w:val="00D82D40"/>
    <w:rsid w:val="00D838DE"/>
    <w:rsid w:val="00D84823"/>
    <w:rsid w:val="00D87CBD"/>
    <w:rsid w:val="00D90567"/>
    <w:rsid w:val="00D93561"/>
    <w:rsid w:val="00D945E7"/>
    <w:rsid w:val="00DA3D41"/>
    <w:rsid w:val="00DA6205"/>
    <w:rsid w:val="00DA7E9A"/>
    <w:rsid w:val="00DB3878"/>
    <w:rsid w:val="00DB41C3"/>
    <w:rsid w:val="00DD1B47"/>
    <w:rsid w:val="00DD6F7E"/>
    <w:rsid w:val="00DE1EA9"/>
    <w:rsid w:val="00DE210B"/>
    <w:rsid w:val="00DF48DC"/>
    <w:rsid w:val="00DF4930"/>
    <w:rsid w:val="00E0377E"/>
    <w:rsid w:val="00E050E6"/>
    <w:rsid w:val="00E0620B"/>
    <w:rsid w:val="00E22082"/>
    <w:rsid w:val="00E2318D"/>
    <w:rsid w:val="00E23B61"/>
    <w:rsid w:val="00E23F30"/>
    <w:rsid w:val="00E274D2"/>
    <w:rsid w:val="00E302FA"/>
    <w:rsid w:val="00E33524"/>
    <w:rsid w:val="00E369E6"/>
    <w:rsid w:val="00E41F9D"/>
    <w:rsid w:val="00E55C0C"/>
    <w:rsid w:val="00E664A0"/>
    <w:rsid w:val="00E67AC6"/>
    <w:rsid w:val="00E700B2"/>
    <w:rsid w:val="00E72732"/>
    <w:rsid w:val="00E7602F"/>
    <w:rsid w:val="00E8511C"/>
    <w:rsid w:val="00E96323"/>
    <w:rsid w:val="00EA146D"/>
    <w:rsid w:val="00EA1F63"/>
    <w:rsid w:val="00EB12F5"/>
    <w:rsid w:val="00EC099B"/>
    <w:rsid w:val="00EC2664"/>
    <w:rsid w:val="00EC4243"/>
    <w:rsid w:val="00EC60DE"/>
    <w:rsid w:val="00ED0BBB"/>
    <w:rsid w:val="00ED612B"/>
    <w:rsid w:val="00ED7044"/>
    <w:rsid w:val="00EE47F1"/>
    <w:rsid w:val="00EE672D"/>
    <w:rsid w:val="00EE7360"/>
    <w:rsid w:val="00EF001E"/>
    <w:rsid w:val="00F005D8"/>
    <w:rsid w:val="00F005F6"/>
    <w:rsid w:val="00F072D6"/>
    <w:rsid w:val="00F10752"/>
    <w:rsid w:val="00F14A35"/>
    <w:rsid w:val="00F322CE"/>
    <w:rsid w:val="00F34053"/>
    <w:rsid w:val="00F3452C"/>
    <w:rsid w:val="00F4078F"/>
    <w:rsid w:val="00F41423"/>
    <w:rsid w:val="00F45DE6"/>
    <w:rsid w:val="00F51C83"/>
    <w:rsid w:val="00F564A8"/>
    <w:rsid w:val="00F654E3"/>
    <w:rsid w:val="00F70DDF"/>
    <w:rsid w:val="00F71F05"/>
    <w:rsid w:val="00F72022"/>
    <w:rsid w:val="00F73E6E"/>
    <w:rsid w:val="00F7765A"/>
    <w:rsid w:val="00F803DC"/>
    <w:rsid w:val="00F91056"/>
    <w:rsid w:val="00FA4D43"/>
    <w:rsid w:val="00FB0695"/>
    <w:rsid w:val="00FB38A9"/>
    <w:rsid w:val="00FB68D0"/>
    <w:rsid w:val="00FB7B3E"/>
    <w:rsid w:val="00FC378B"/>
    <w:rsid w:val="00FC3C89"/>
    <w:rsid w:val="00FC5C11"/>
    <w:rsid w:val="00FD0E08"/>
    <w:rsid w:val="00FF07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7039D"/>
  <w15:chartTrackingRefBased/>
  <w15:docId w15:val="{63D9D935-CD9C-45DF-B42D-C8D4F3983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6C0A"/>
    <w:pPr>
      <w:ind w:left="720"/>
      <w:contextualSpacing/>
    </w:pPr>
  </w:style>
  <w:style w:type="character" w:styleId="LineNumber">
    <w:name w:val="line number"/>
    <w:basedOn w:val="DefaultParagraphFont"/>
    <w:uiPriority w:val="99"/>
    <w:semiHidden/>
    <w:unhideWhenUsed/>
    <w:rsid w:val="00C140C9"/>
  </w:style>
  <w:style w:type="paragraph" w:styleId="Header">
    <w:name w:val="header"/>
    <w:basedOn w:val="Normal"/>
    <w:link w:val="HeaderChar"/>
    <w:uiPriority w:val="99"/>
    <w:unhideWhenUsed/>
    <w:rsid w:val="00C646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4682"/>
  </w:style>
  <w:style w:type="paragraph" w:styleId="Footer">
    <w:name w:val="footer"/>
    <w:basedOn w:val="Normal"/>
    <w:link w:val="FooterChar"/>
    <w:uiPriority w:val="99"/>
    <w:unhideWhenUsed/>
    <w:rsid w:val="00C646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4682"/>
  </w:style>
  <w:style w:type="paragraph" w:styleId="EndnoteText">
    <w:name w:val="endnote text"/>
    <w:basedOn w:val="Normal"/>
    <w:link w:val="EndnoteTextChar"/>
    <w:uiPriority w:val="99"/>
    <w:unhideWhenUsed/>
    <w:rsid w:val="009D5E54"/>
    <w:pPr>
      <w:spacing w:after="0" w:line="240" w:lineRule="auto"/>
    </w:pPr>
    <w:rPr>
      <w:sz w:val="20"/>
      <w:szCs w:val="20"/>
    </w:rPr>
  </w:style>
  <w:style w:type="character" w:customStyle="1" w:styleId="EndnoteTextChar">
    <w:name w:val="Endnote Text Char"/>
    <w:basedOn w:val="DefaultParagraphFont"/>
    <w:link w:val="EndnoteText"/>
    <w:uiPriority w:val="99"/>
    <w:rsid w:val="009D5E54"/>
    <w:rPr>
      <w:sz w:val="20"/>
      <w:szCs w:val="20"/>
    </w:rPr>
  </w:style>
  <w:style w:type="character" w:styleId="EndnoteReference">
    <w:name w:val="endnote reference"/>
    <w:basedOn w:val="DefaultParagraphFont"/>
    <w:uiPriority w:val="99"/>
    <w:unhideWhenUsed/>
    <w:rsid w:val="009D5E54"/>
    <w:rPr>
      <w:vertAlign w:val="superscript"/>
    </w:rPr>
  </w:style>
  <w:style w:type="character" w:styleId="Hyperlink">
    <w:name w:val="Hyperlink"/>
    <w:basedOn w:val="DefaultParagraphFont"/>
    <w:uiPriority w:val="99"/>
    <w:unhideWhenUsed/>
    <w:rsid w:val="00EE736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1" Type="http://schemas.openxmlformats.org/officeDocument/2006/relationships/hyperlink" Target="https://www.rand.org/content/dam/rand/pubs/technical_reports/2010/RAND_TR78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ECDFF5-60EB-4848-8608-34B7024215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5</Pages>
  <Words>1943</Words>
  <Characters>11081</Characters>
  <Application>Microsoft Office Word</Application>
  <DocSecurity>0</DocSecurity>
  <Lines>92</Lines>
  <Paragraphs>25</Paragraphs>
  <ScaleCrop>false</ScaleCrop>
  <Company/>
  <LinksUpToDate>false</LinksUpToDate>
  <CharactersWithSpaces>12999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 Warnes</dc:creator>
  <cp:keywords/>
  <dc:description/>
  <cp:lastModifiedBy>Rich Warnes</cp:lastModifiedBy>
  <cp:revision>171</cp:revision>
  <dcterms:created xsi:type="dcterms:W3CDTF">2023-07-23T11:46:00Z</dcterms:created>
  <dcterms:modified xsi:type="dcterms:W3CDTF">2023-07-23T18:06:00Z</dcterms:modified>
</cp:coreProperties>
</file>